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94" w:rsidRDefault="00A01194" w:rsidP="00A01194">
      <w:pPr>
        <w:rPr>
          <w:sz w:val="28"/>
        </w:rPr>
      </w:pPr>
      <w:bookmarkStart w:id="0" w:name="_GoBack"/>
      <w:bookmarkEnd w:id="0"/>
    </w:p>
    <w:p w:rsidR="00A01194" w:rsidRDefault="00A01194" w:rsidP="00A01194">
      <w:pPr>
        <w:rPr>
          <w:sz w:val="28"/>
        </w:rPr>
      </w:pPr>
    </w:p>
    <w:p w:rsidR="00A01194" w:rsidRDefault="00A01194" w:rsidP="00A01194">
      <w:pPr>
        <w:rPr>
          <w:sz w:val="28"/>
        </w:rPr>
      </w:pPr>
    </w:p>
    <w:p w:rsidR="00A01194" w:rsidRDefault="00A01194" w:rsidP="00A01194">
      <w:pPr>
        <w:rPr>
          <w:sz w:val="28"/>
        </w:rPr>
      </w:pPr>
    </w:p>
    <w:p w:rsidR="00A01194" w:rsidRDefault="00A01194" w:rsidP="00A01194">
      <w:pPr>
        <w:rPr>
          <w:sz w:val="28"/>
        </w:rPr>
      </w:pPr>
    </w:p>
    <w:p w:rsidR="00A01194" w:rsidRDefault="00A01194" w:rsidP="00A01194">
      <w:pPr>
        <w:rPr>
          <w:sz w:val="28"/>
        </w:rPr>
      </w:pPr>
    </w:p>
    <w:p w:rsidR="00A01194" w:rsidRDefault="00A01194" w:rsidP="00A01194">
      <w:pPr>
        <w:rPr>
          <w:sz w:val="28"/>
        </w:rPr>
      </w:pPr>
    </w:p>
    <w:p w:rsidR="00A01194" w:rsidRDefault="00A01194" w:rsidP="00A01194">
      <w:pPr>
        <w:rPr>
          <w:sz w:val="28"/>
        </w:rPr>
      </w:pPr>
    </w:p>
    <w:p w:rsidR="00A01194" w:rsidRDefault="00A01194" w:rsidP="00A01194">
      <w:pPr>
        <w:rPr>
          <w:sz w:val="28"/>
        </w:rPr>
      </w:pPr>
    </w:p>
    <w:p w:rsidR="00A01194" w:rsidRDefault="00A01194" w:rsidP="00A01194">
      <w:pPr>
        <w:rPr>
          <w:sz w:val="28"/>
        </w:rPr>
      </w:pPr>
    </w:p>
    <w:p w:rsidR="00A01194" w:rsidRDefault="00A01194" w:rsidP="00A01194">
      <w:pPr>
        <w:rPr>
          <w:sz w:val="28"/>
        </w:rPr>
      </w:pPr>
    </w:p>
    <w:p w:rsidR="00A01194" w:rsidRPr="00900B26" w:rsidRDefault="00A01194" w:rsidP="00A0119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900B26">
        <w:rPr>
          <w:rFonts w:ascii="Century Gothic" w:hAnsi="Century Gothic"/>
          <w:b/>
          <w:i/>
          <w:sz w:val="36"/>
          <w:szCs w:val="36"/>
        </w:rPr>
        <w:t>I.</w:t>
      </w:r>
    </w:p>
    <w:p w:rsidR="00A01194" w:rsidRPr="00900B26" w:rsidRDefault="00A01194" w:rsidP="00A01194">
      <w:pPr>
        <w:spacing w:line="360" w:lineRule="auto"/>
        <w:jc w:val="center"/>
        <w:rPr>
          <w:rFonts w:ascii="Century Gothic" w:hAnsi="Century Gothic"/>
          <w:b/>
          <w:i/>
          <w:sz w:val="36"/>
          <w:szCs w:val="36"/>
        </w:rPr>
      </w:pPr>
    </w:p>
    <w:p w:rsidR="00A01194" w:rsidRPr="00900B26" w:rsidRDefault="00A01194" w:rsidP="00A01194">
      <w:pPr>
        <w:spacing w:line="360" w:lineRule="auto"/>
        <w:jc w:val="center"/>
        <w:rPr>
          <w:rFonts w:ascii="Century Gothic" w:hAnsi="Century Gothic"/>
          <w:b/>
          <w:i/>
          <w:sz w:val="36"/>
          <w:szCs w:val="36"/>
        </w:rPr>
      </w:pPr>
    </w:p>
    <w:p w:rsidR="00A01194" w:rsidRPr="00900B26" w:rsidRDefault="00A01194" w:rsidP="00A0119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900B26">
        <w:rPr>
          <w:rFonts w:ascii="Century Gothic" w:hAnsi="Century Gothic"/>
          <w:b/>
          <w:i/>
          <w:sz w:val="36"/>
          <w:szCs w:val="36"/>
        </w:rPr>
        <w:t>Analýza</w:t>
      </w:r>
    </w:p>
    <w:p w:rsidR="00A01194" w:rsidRPr="00900B26" w:rsidRDefault="00A01194" w:rsidP="00A0119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01194" w:rsidRPr="00900B26" w:rsidRDefault="00A01194" w:rsidP="00A0119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900B26">
        <w:rPr>
          <w:rFonts w:ascii="Century Gothic" w:hAnsi="Century Gothic"/>
          <w:b/>
          <w:i/>
          <w:sz w:val="36"/>
          <w:szCs w:val="36"/>
        </w:rPr>
        <w:t>vývoje příjmů a výdajů domácností ČR</w:t>
      </w:r>
    </w:p>
    <w:p w:rsidR="00A01194" w:rsidRPr="00900B26" w:rsidRDefault="00A01194" w:rsidP="00A0119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01194" w:rsidRPr="00900B26" w:rsidRDefault="00A01194" w:rsidP="00A0119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900B26">
        <w:rPr>
          <w:rFonts w:ascii="Century Gothic" w:hAnsi="Century Gothic"/>
          <w:b/>
          <w:i/>
          <w:sz w:val="36"/>
          <w:szCs w:val="36"/>
        </w:rPr>
        <w:t>v 1. pololetí 201</w:t>
      </w:r>
      <w:r w:rsidR="003216BA">
        <w:rPr>
          <w:rFonts w:ascii="Century Gothic" w:hAnsi="Century Gothic"/>
          <w:b/>
          <w:i/>
          <w:sz w:val="36"/>
          <w:szCs w:val="36"/>
        </w:rPr>
        <w:t>5</w:t>
      </w:r>
      <w:r w:rsidRPr="00900B26">
        <w:rPr>
          <w:rFonts w:ascii="Century Gothic" w:hAnsi="Century Gothic"/>
          <w:b/>
          <w:i/>
          <w:sz w:val="36"/>
          <w:szCs w:val="36"/>
        </w:rPr>
        <w:t xml:space="preserve"> a predikce na další období  </w:t>
      </w:r>
    </w:p>
    <w:p w:rsidR="00A01194" w:rsidRPr="00900B26" w:rsidRDefault="00A01194" w:rsidP="00A0119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01194" w:rsidRPr="00900B26" w:rsidRDefault="00A01194" w:rsidP="00A01194">
      <w:pPr>
        <w:rPr>
          <w:rFonts w:ascii="Century Gothic" w:hAnsi="Century Gothic"/>
          <w:b/>
          <w:sz w:val="36"/>
          <w:szCs w:val="36"/>
        </w:rPr>
      </w:pPr>
    </w:p>
    <w:p w:rsidR="00A01194" w:rsidRPr="00900B26" w:rsidRDefault="00A01194" w:rsidP="00A01194">
      <w:pPr>
        <w:jc w:val="center"/>
        <w:rPr>
          <w:rFonts w:ascii="Century Gothic" w:hAnsi="Century Gothic"/>
          <w:i/>
          <w:iCs/>
          <w:sz w:val="36"/>
          <w:szCs w:val="36"/>
        </w:rPr>
      </w:pPr>
      <w:r w:rsidRPr="00900B26">
        <w:rPr>
          <w:rFonts w:ascii="Century Gothic" w:hAnsi="Century Gothic"/>
          <w:i/>
          <w:iCs/>
          <w:sz w:val="36"/>
          <w:szCs w:val="36"/>
        </w:rPr>
        <w:t>(textová část)</w:t>
      </w:r>
    </w:p>
    <w:p w:rsidR="00A01194" w:rsidRPr="00900B26" w:rsidRDefault="00A01194" w:rsidP="00A01194">
      <w:pPr>
        <w:rPr>
          <w:sz w:val="28"/>
        </w:rPr>
      </w:pPr>
    </w:p>
    <w:p w:rsidR="00A01194" w:rsidRDefault="00A01194" w:rsidP="00A01194">
      <w:pPr>
        <w:pStyle w:val="Zpat"/>
        <w:tabs>
          <w:tab w:val="clear" w:pos="4536"/>
          <w:tab w:val="clear" w:pos="9072"/>
        </w:tabs>
      </w:pPr>
    </w:p>
    <w:p w:rsidR="00A01194" w:rsidRDefault="00A01194" w:rsidP="00A01194">
      <w:pPr>
        <w:pStyle w:val="Nadpis1"/>
        <w:numPr>
          <w:ilvl w:val="0"/>
          <w:numId w:val="0"/>
        </w:numPr>
        <w:jc w:val="center"/>
      </w:pPr>
      <w:r>
        <w:br w:type="page"/>
      </w:r>
    </w:p>
    <w:p w:rsidR="00A01194" w:rsidRDefault="00A01194" w:rsidP="00A01194">
      <w:pPr>
        <w:pStyle w:val="Nadpis1"/>
        <w:numPr>
          <w:ilvl w:val="0"/>
          <w:numId w:val="0"/>
        </w:numPr>
        <w:jc w:val="center"/>
      </w:pPr>
    </w:p>
    <w:p w:rsidR="001C1A91" w:rsidRPr="001C1A91" w:rsidRDefault="001C1A91" w:rsidP="001C1A91"/>
    <w:p w:rsidR="00A01194" w:rsidRPr="006472D0" w:rsidRDefault="00A01194" w:rsidP="00A01194">
      <w:pPr>
        <w:pStyle w:val="Nadpis1"/>
        <w:numPr>
          <w:ilvl w:val="0"/>
          <w:numId w:val="0"/>
        </w:numPr>
        <w:jc w:val="center"/>
        <w:rPr>
          <w:i/>
          <w:iCs/>
          <w:sz w:val="40"/>
        </w:rPr>
      </w:pPr>
      <w:r w:rsidRPr="006472D0">
        <w:rPr>
          <w:i/>
          <w:iCs/>
          <w:sz w:val="40"/>
        </w:rPr>
        <w:t>Obsah</w:t>
      </w:r>
    </w:p>
    <w:p w:rsidR="00A01194" w:rsidRDefault="00A01194" w:rsidP="00A01194">
      <w:pPr>
        <w:tabs>
          <w:tab w:val="center" w:pos="8222"/>
        </w:tabs>
        <w:jc w:val="both"/>
      </w:pPr>
    </w:p>
    <w:p w:rsidR="001C1A91" w:rsidRDefault="001C1A91" w:rsidP="00A01194">
      <w:pPr>
        <w:tabs>
          <w:tab w:val="center" w:pos="8222"/>
        </w:tabs>
        <w:jc w:val="both"/>
      </w:pPr>
    </w:p>
    <w:p w:rsidR="001C1A91" w:rsidRDefault="001C1A91" w:rsidP="00A01194">
      <w:pPr>
        <w:tabs>
          <w:tab w:val="center" w:pos="8222"/>
        </w:tabs>
        <w:jc w:val="both"/>
      </w:pPr>
    </w:p>
    <w:p w:rsidR="001C1A91" w:rsidRPr="006472D0" w:rsidRDefault="001C1A91" w:rsidP="00A01194">
      <w:pPr>
        <w:tabs>
          <w:tab w:val="center" w:pos="8222"/>
        </w:tabs>
        <w:jc w:val="both"/>
      </w:pPr>
    </w:p>
    <w:p w:rsidR="00A01194" w:rsidRPr="006472D0" w:rsidRDefault="00A01194" w:rsidP="00A01194">
      <w:pPr>
        <w:tabs>
          <w:tab w:val="center" w:pos="8222"/>
        </w:tabs>
        <w:spacing w:line="360" w:lineRule="auto"/>
        <w:jc w:val="both"/>
      </w:pPr>
      <w:r w:rsidRPr="006472D0">
        <w:tab/>
        <w:t>strana</w:t>
      </w: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b/>
        </w:rPr>
      </w:pPr>
      <w:r w:rsidRPr="006472D0">
        <w:rPr>
          <w:b/>
        </w:rPr>
        <w:t xml:space="preserve">A. Základní charakteristika příjmové a výdajové situace </w:t>
      </w: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rPr>
          <w:b/>
        </w:rPr>
        <w:t xml:space="preserve">     domácností v 1. pololetí 201</w:t>
      </w:r>
      <w:r w:rsidR="00EA47DB" w:rsidRPr="006472D0">
        <w:rPr>
          <w:b/>
        </w:rPr>
        <w:t>5</w:t>
      </w:r>
      <w:r w:rsidRPr="006472D0">
        <w:tab/>
        <w:t>1</w:t>
      </w:r>
    </w:p>
    <w:p w:rsidR="00A01194" w:rsidRDefault="00A01194" w:rsidP="00A01194">
      <w:pPr>
        <w:tabs>
          <w:tab w:val="decimal" w:pos="8222"/>
        </w:tabs>
        <w:spacing w:line="360" w:lineRule="auto"/>
        <w:jc w:val="both"/>
      </w:pPr>
    </w:p>
    <w:p w:rsidR="001C1A91" w:rsidRPr="006472D0" w:rsidRDefault="001C1A91" w:rsidP="00A01194">
      <w:pPr>
        <w:tabs>
          <w:tab w:val="decimal" w:pos="8222"/>
        </w:tabs>
        <w:spacing w:line="360" w:lineRule="auto"/>
        <w:jc w:val="both"/>
      </w:pP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b/>
        </w:rPr>
      </w:pPr>
      <w:r w:rsidRPr="006472D0">
        <w:rPr>
          <w:b/>
          <w:bCs/>
        </w:rPr>
        <w:t>B</w:t>
      </w:r>
      <w:r w:rsidRPr="006472D0">
        <w:rPr>
          <w:b/>
        </w:rPr>
        <w:t>. Vývoj hlavních skupin příjmů, životních nákladů,</w:t>
      </w: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t xml:space="preserve">     </w:t>
      </w:r>
      <w:r w:rsidR="001C1A91">
        <w:rPr>
          <w:b/>
        </w:rPr>
        <w:t xml:space="preserve">výdajů </w:t>
      </w:r>
      <w:r w:rsidRPr="006472D0">
        <w:rPr>
          <w:b/>
        </w:rPr>
        <w:t xml:space="preserve">a úspor domácností </w:t>
      </w:r>
      <w:r w:rsidRPr="006472D0">
        <w:t>(podrobnější zhodnocení)</w:t>
      </w:r>
      <w:r w:rsidRPr="006472D0">
        <w:tab/>
      </w:r>
      <w:r w:rsidR="00D922DA" w:rsidRPr="006472D0">
        <w:t>5</w:t>
      </w:r>
    </w:p>
    <w:p w:rsidR="00A01194" w:rsidRPr="006472D0" w:rsidRDefault="00A01194" w:rsidP="00A01194">
      <w:pPr>
        <w:tabs>
          <w:tab w:val="decimal" w:pos="8222"/>
        </w:tabs>
        <w:jc w:val="both"/>
      </w:pP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rPr>
          <w:b/>
          <w:bCs/>
        </w:rPr>
        <w:tab/>
        <w:t>1</w:t>
      </w:r>
      <w:r w:rsidRPr="006472D0">
        <w:rPr>
          <w:b/>
        </w:rPr>
        <w:t>. Příjmy domácností</w:t>
      </w:r>
      <w:r w:rsidR="00D922DA" w:rsidRPr="006472D0">
        <w:tab/>
        <w:t>5</w:t>
      </w: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tab/>
      </w:r>
      <w:r w:rsidRPr="006472D0">
        <w:tab/>
        <w:t>1</w:t>
      </w:r>
      <w:r w:rsidR="00D922DA" w:rsidRPr="006472D0">
        <w:t xml:space="preserve">. 1  Základní charakteristika </w:t>
      </w:r>
      <w:r w:rsidR="00D922DA" w:rsidRPr="006472D0">
        <w:tab/>
        <w:t>5</w:t>
      </w: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tab/>
      </w:r>
      <w:r w:rsidRPr="006472D0">
        <w:tab/>
        <w:t>1. 2  Mzdy</w:t>
      </w:r>
      <w:r w:rsidRPr="006472D0">
        <w:tab/>
      </w:r>
      <w:r w:rsidR="006472D0" w:rsidRPr="006472D0">
        <w:t>7</w:t>
      </w:r>
    </w:p>
    <w:p w:rsidR="00D922DA" w:rsidRPr="006472D0" w:rsidRDefault="00D922DA" w:rsidP="00D922DA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tab/>
      </w:r>
      <w:r w:rsidRPr="006472D0">
        <w:tab/>
      </w:r>
      <w:r w:rsidRPr="006472D0">
        <w:tab/>
        <w:t>1. 2. 1  Poznatky ze šetření ISPV</w:t>
      </w:r>
      <w:r w:rsidRPr="006472D0">
        <w:tab/>
        <w:t>1</w:t>
      </w:r>
      <w:r w:rsidR="001C1A91">
        <w:t>5</w:t>
      </w: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tab/>
      </w:r>
      <w:r w:rsidRPr="006472D0">
        <w:tab/>
        <w:t>1. 3  Sociální příjmy</w:t>
      </w:r>
      <w:r w:rsidRPr="006472D0">
        <w:tab/>
        <w:t>2</w:t>
      </w:r>
      <w:r w:rsidR="006472D0" w:rsidRPr="006472D0">
        <w:t>0</w:t>
      </w:r>
    </w:p>
    <w:p w:rsidR="001C1A91" w:rsidRDefault="001C1A91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b/>
          <w:bCs/>
        </w:rPr>
      </w:pP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bCs/>
          <w:i/>
          <w:iCs/>
        </w:rPr>
      </w:pPr>
      <w:r w:rsidRPr="006472D0">
        <w:rPr>
          <w:b/>
          <w:bCs/>
        </w:rPr>
        <w:tab/>
        <w:t>2. Spotřebitelské ceny a životní náklady</w:t>
      </w:r>
      <w:r w:rsidRPr="006472D0">
        <w:tab/>
        <w:t>2</w:t>
      </w:r>
      <w:r w:rsidR="006472D0" w:rsidRPr="006472D0">
        <w:t>7</w:t>
      </w:r>
    </w:p>
    <w:p w:rsidR="001C1A91" w:rsidRDefault="001C1A91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b/>
        </w:rPr>
      </w:pP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rPr>
          <w:b/>
        </w:rPr>
        <w:tab/>
        <w:t>3. Peněžní výdaje, půjčky a úspory domácností</w:t>
      </w:r>
      <w:r w:rsidRPr="006472D0">
        <w:tab/>
      </w:r>
      <w:r w:rsidR="006472D0" w:rsidRPr="006472D0">
        <w:t>29</w:t>
      </w:r>
    </w:p>
    <w:p w:rsidR="00D922DA" w:rsidRPr="006472D0" w:rsidRDefault="00D922DA" w:rsidP="00D922DA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tab/>
      </w:r>
      <w:r w:rsidRPr="006472D0">
        <w:tab/>
        <w:t xml:space="preserve">3. 1  Peněžní výdaje </w:t>
      </w:r>
      <w:r w:rsidRPr="006472D0">
        <w:tab/>
      </w:r>
      <w:r w:rsidR="006472D0" w:rsidRPr="006472D0">
        <w:t>29</w:t>
      </w:r>
    </w:p>
    <w:p w:rsidR="00D922DA" w:rsidRPr="006472D0" w:rsidRDefault="00D922DA" w:rsidP="00D922DA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tab/>
      </w:r>
      <w:r w:rsidRPr="006472D0">
        <w:tab/>
        <w:t>3. 2  Peněžní úvěry, půjčky</w:t>
      </w:r>
      <w:r w:rsidRPr="006472D0">
        <w:tab/>
        <w:t>3</w:t>
      </w:r>
      <w:r w:rsidR="006472D0" w:rsidRPr="006472D0">
        <w:t>0</w:t>
      </w:r>
    </w:p>
    <w:p w:rsidR="00D922DA" w:rsidRPr="006472D0" w:rsidRDefault="00D922DA" w:rsidP="00D922DA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tab/>
      </w:r>
      <w:r w:rsidRPr="006472D0">
        <w:tab/>
        <w:t>3. 3  Úspory</w:t>
      </w:r>
      <w:r w:rsidRPr="006472D0">
        <w:tab/>
        <w:t>3</w:t>
      </w:r>
      <w:r w:rsidR="006472D0" w:rsidRPr="006472D0">
        <w:t>2</w:t>
      </w:r>
    </w:p>
    <w:p w:rsidR="00A01194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1C1A91" w:rsidRPr="006472D0" w:rsidRDefault="001C1A91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6472D0">
        <w:rPr>
          <w:b/>
          <w:bCs/>
        </w:rPr>
        <w:t>C. Vývoj ve 3. čtvrtletí 201</w:t>
      </w:r>
      <w:r w:rsidR="00EA47DB" w:rsidRPr="006472D0">
        <w:rPr>
          <w:b/>
          <w:bCs/>
        </w:rPr>
        <w:t>5</w:t>
      </w:r>
      <w:r w:rsidRPr="006472D0">
        <w:rPr>
          <w:b/>
          <w:bCs/>
        </w:rPr>
        <w:t xml:space="preserve"> a predikce na další období</w:t>
      </w:r>
      <w:r w:rsidRPr="006472D0">
        <w:tab/>
        <w:t>3</w:t>
      </w:r>
      <w:r w:rsidR="006472D0" w:rsidRPr="006472D0">
        <w:t>4</w:t>
      </w:r>
    </w:p>
    <w:p w:rsidR="00A01194" w:rsidRPr="006472D0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A01194" w:rsidRPr="00D922DA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A01194" w:rsidRPr="00900B26" w:rsidRDefault="00A01194" w:rsidP="00A0119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color w:val="FF0000"/>
        </w:rPr>
        <w:sectPr w:rsidR="00A01194" w:rsidRPr="00900B26" w:rsidSect="00467B5F">
          <w:footerReference w:type="default" r:id="rId8"/>
          <w:pgSz w:w="11906" w:h="16838"/>
          <w:pgMar w:top="1418" w:right="1418" w:bottom="1418" w:left="1418" w:header="709" w:footer="709" w:gutter="0"/>
          <w:pgNumType w:start="2"/>
          <w:cols w:space="708"/>
        </w:sectPr>
      </w:pPr>
    </w:p>
    <w:p w:rsidR="00A01194" w:rsidRPr="00B34C1A" w:rsidRDefault="00A01194" w:rsidP="008D3D86">
      <w:pPr>
        <w:pStyle w:val="Nadpis9"/>
        <w:keepNext/>
        <w:numPr>
          <w:ilvl w:val="0"/>
          <w:numId w:val="8"/>
        </w:numPr>
        <w:tabs>
          <w:tab w:val="left" w:pos="284"/>
          <w:tab w:val="left" w:pos="567"/>
          <w:tab w:val="num" w:pos="810"/>
          <w:tab w:val="left" w:pos="851"/>
          <w:tab w:val="decimal" w:leader="dot" w:pos="8222"/>
        </w:tabs>
        <w:spacing w:before="0" w:after="0" w:line="360" w:lineRule="auto"/>
        <w:jc w:val="both"/>
        <w:rPr>
          <w:b/>
          <w:i/>
          <w:sz w:val="32"/>
          <w:szCs w:val="32"/>
        </w:rPr>
      </w:pPr>
      <w:r w:rsidRPr="00B34C1A">
        <w:rPr>
          <w:b/>
          <w:i/>
          <w:sz w:val="32"/>
          <w:szCs w:val="32"/>
        </w:rPr>
        <w:lastRenderedPageBreak/>
        <w:t>Základní charakteristika příjmové a výdajové situace domácností v 1. pololetí 201</w:t>
      </w:r>
      <w:r w:rsidR="00EA47DB" w:rsidRPr="00B34C1A">
        <w:rPr>
          <w:b/>
          <w:i/>
          <w:sz w:val="32"/>
          <w:szCs w:val="32"/>
        </w:rPr>
        <w:t>5</w:t>
      </w:r>
    </w:p>
    <w:p w:rsidR="00B34C1A" w:rsidRDefault="00B34C1A" w:rsidP="00B34C1A">
      <w:pPr>
        <w:spacing w:line="360" w:lineRule="auto"/>
        <w:jc w:val="both"/>
      </w:pPr>
    </w:p>
    <w:p w:rsidR="001A3AA5" w:rsidRPr="00B34C1A" w:rsidRDefault="001A3AA5" w:rsidP="00B34C1A">
      <w:pPr>
        <w:spacing w:line="360" w:lineRule="auto"/>
        <w:jc w:val="both"/>
      </w:pPr>
    </w:p>
    <w:p w:rsidR="00B34C1A" w:rsidRPr="00B34C1A" w:rsidRDefault="00B34C1A" w:rsidP="00B34C1A">
      <w:pPr>
        <w:spacing w:line="360" w:lineRule="auto"/>
        <w:jc w:val="both"/>
      </w:pPr>
      <w:r w:rsidRPr="00B34C1A">
        <w:rPr>
          <w:rFonts w:cs="Arial"/>
        </w:rPr>
        <w:tab/>
        <w:t xml:space="preserve">Ve druhém čtvrtletí roku 2015 </w:t>
      </w:r>
      <w:r w:rsidRPr="00B34C1A">
        <w:rPr>
          <w:rFonts w:cs="Arial"/>
          <w:b/>
        </w:rPr>
        <w:t>nadále pokračoval silný hospodářský růst</w:t>
      </w:r>
      <w:r w:rsidRPr="00B34C1A">
        <w:rPr>
          <w:rFonts w:cs="Arial"/>
        </w:rPr>
        <w:t xml:space="preserve"> České republiky a domácí ekonomika tak navázala na své výsledky z prvních třech měsíců tohoto roku.</w:t>
      </w:r>
      <w:r w:rsidRPr="00B34C1A">
        <w:t xml:space="preserve"> </w:t>
      </w:r>
      <w:r w:rsidRPr="00B34C1A">
        <w:rPr>
          <w:b/>
        </w:rPr>
        <w:t>Hrubý domácí produkt vzrostl</w:t>
      </w:r>
      <w:r w:rsidRPr="00B34C1A">
        <w:t xml:space="preserve"> meziročně </w:t>
      </w:r>
      <w:r w:rsidRPr="00B34C1A">
        <w:rPr>
          <w:b/>
        </w:rPr>
        <w:t>v prvním čtvrtletí o 4,1 % a ve druhém o 4,6 %.</w:t>
      </w:r>
      <w:r w:rsidRPr="00B34C1A">
        <w:t xml:space="preserve"> Vysoké tempo růstu je zřejmé zejména při srovnání</w:t>
      </w:r>
      <w:r w:rsidRPr="00B34C1A">
        <w:rPr>
          <w:b/>
          <w:u w:val="single"/>
        </w:rPr>
        <w:t xml:space="preserve"> </w:t>
      </w:r>
      <w:r w:rsidRPr="00B34C1A">
        <w:t>s ostatními zeměmi Evropské unie, kdy byl meziroční přírůstek HDP České republiky ve druhém čtvrtletí třetí nejvyšší ze všech osmadvaceti sledovaných států.</w:t>
      </w:r>
    </w:p>
    <w:p w:rsidR="00B34C1A" w:rsidRPr="00B34C1A" w:rsidRDefault="00B34C1A" w:rsidP="00B34C1A">
      <w:pPr>
        <w:spacing w:line="360" w:lineRule="auto"/>
        <w:jc w:val="both"/>
      </w:pPr>
    </w:p>
    <w:p w:rsidR="00B34C1A" w:rsidRDefault="00B34C1A" w:rsidP="001C1A91">
      <w:pPr>
        <w:spacing w:line="360" w:lineRule="auto"/>
        <w:jc w:val="both"/>
      </w:pPr>
      <w:r w:rsidRPr="00B34C1A">
        <w:tab/>
        <w:t>Názorný pohled na vývoj vybraných ukazatelů ekonomiky v 1. pololetí let 2008 až 2015 podává následující graf:</w:t>
      </w:r>
    </w:p>
    <w:p w:rsidR="001C1A91" w:rsidRPr="00B34C1A" w:rsidRDefault="001C1A91" w:rsidP="001C1A91">
      <w:pPr>
        <w:spacing w:line="360" w:lineRule="auto"/>
        <w:jc w:val="both"/>
      </w:pPr>
    </w:p>
    <w:p w:rsidR="00B34C1A" w:rsidRPr="00B34C1A" w:rsidRDefault="00B34C1A" w:rsidP="00B34C1A">
      <w:pPr>
        <w:spacing w:line="360" w:lineRule="auto"/>
        <w:jc w:val="both"/>
      </w:pPr>
      <w:r w:rsidRPr="00B34C1A">
        <w:rPr>
          <w:noProof/>
        </w:rPr>
        <w:drawing>
          <wp:inline distT="0" distB="0" distL="0" distR="0">
            <wp:extent cx="5774669" cy="43053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976" cy="430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C1A" w:rsidRPr="00B34C1A" w:rsidRDefault="00B34C1A" w:rsidP="00B34C1A">
      <w:pPr>
        <w:spacing w:line="360" w:lineRule="auto"/>
        <w:jc w:val="both"/>
        <w:rPr>
          <w:sz w:val="20"/>
          <w:szCs w:val="18"/>
        </w:rPr>
      </w:pPr>
    </w:p>
    <w:p w:rsidR="00B34C1A" w:rsidRPr="00B34C1A" w:rsidRDefault="00B34C1A" w:rsidP="00B34C1A">
      <w:pPr>
        <w:spacing w:line="360" w:lineRule="auto"/>
        <w:jc w:val="both"/>
        <w:rPr>
          <w:sz w:val="20"/>
          <w:szCs w:val="18"/>
        </w:rPr>
      </w:pPr>
      <w:r w:rsidRPr="00B34C1A">
        <w:rPr>
          <w:sz w:val="20"/>
          <w:szCs w:val="18"/>
        </w:rPr>
        <w:t>*vypočteno z běžných cen</w:t>
      </w:r>
    </w:p>
    <w:p w:rsidR="00B34C1A" w:rsidRPr="00B34C1A" w:rsidRDefault="00B34C1A" w:rsidP="00B34C1A">
      <w:pPr>
        <w:jc w:val="both"/>
        <w:rPr>
          <w:rFonts w:cs="Arial"/>
          <w:sz w:val="20"/>
        </w:rPr>
      </w:pPr>
      <w:r w:rsidRPr="00B34C1A">
        <w:rPr>
          <w:rFonts w:cs="Arial"/>
          <w:sz w:val="20"/>
        </w:rPr>
        <w:t>Zpracováno z dat ČSÚ</w:t>
      </w:r>
    </w:p>
    <w:p w:rsidR="00B34C1A" w:rsidRPr="00B34C1A" w:rsidRDefault="00B34C1A" w:rsidP="001A3AA5">
      <w:pPr>
        <w:spacing w:after="240" w:line="360" w:lineRule="auto"/>
        <w:jc w:val="both"/>
      </w:pPr>
      <w:r w:rsidRPr="00B34C1A">
        <w:rPr>
          <w:rFonts w:cs="Arial"/>
        </w:rPr>
        <w:lastRenderedPageBreak/>
        <w:tab/>
      </w:r>
      <w:r w:rsidRPr="00B34C1A">
        <w:t>Výchozí rok 2008 se stabilním růstem byl po ekonomickém propadu v roce 2009 následován výrazným poklesem kupní síly domácností. Po krátkém zlepšení v letech 2010 a 2011 znovu následoval záporný vývoj HDP vedoucí ke zhoršení sledovaných ukazatelů. Ve druhé polovině roku 2013 již nastalo hospodářské oživení a to se v následujícím roce projevilo v růstu příjmů domácností. Avšak výdaje na individuální spotřebu byly stále nízké a domácnosti se spíše orientovaly na tvorbu úspor (více v kapitole 3). V prvním pololetí 2015 vedl pokračující kladný ekonomický vývoj a zlepšení situace na trhu práce k rostoucím výdajům na individuální spotřebu na úkor tvorby hrubých úspor.</w:t>
      </w:r>
    </w:p>
    <w:p w:rsidR="00B34C1A" w:rsidRPr="00B34C1A" w:rsidRDefault="00B34C1A" w:rsidP="001A3AA5">
      <w:pPr>
        <w:spacing w:after="240" w:line="360" w:lineRule="auto"/>
        <w:jc w:val="both"/>
      </w:pPr>
      <w:r w:rsidRPr="00B34C1A">
        <w:rPr>
          <w:rFonts w:cs="Arial"/>
        </w:rPr>
        <w:tab/>
      </w:r>
      <w:r w:rsidRPr="00B34C1A">
        <w:t xml:space="preserve">Posilující příjmy domácností pozitivně ovlivnily </w:t>
      </w:r>
      <w:r w:rsidRPr="00B34C1A">
        <w:rPr>
          <w:b/>
        </w:rPr>
        <w:t>výdaje na konečnou spotřebu domácností,</w:t>
      </w:r>
      <w:r w:rsidRPr="00B34C1A">
        <w:t xml:space="preserve"> které </w:t>
      </w:r>
      <w:r w:rsidRPr="00B34C1A">
        <w:rPr>
          <w:b/>
        </w:rPr>
        <w:t>se za první pololetí 2015</w:t>
      </w:r>
      <w:r w:rsidRPr="00B34C1A">
        <w:t xml:space="preserve"> meziročně </w:t>
      </w:r>
      <w:r w:rsidRPr="00B34C1A">
        <w:rPr>
          <w:b/>
        </w:rPr>
        <w:t>zvýšily</w:t>
      </w:r>
      <w:r w:rsidRPr="00B34C1A">
        <w:t xml:space="preserve"> </w:t>
      </w:r>
      <w:r w:rsidRPr="00B34C1A">
        <w:rPr>
          <w:b/>
        </w:rPr>
        <w:t>o 3,0 %.</w:t>
      </w:r>
      <w:r w:rsidRPr="00B34C1A">
        <w:t xml:space="preserve"> Kromě kladného vlivu poptávky domácností se na vývoji HDP výrazně podílely investice do hrubého fixního kapitálu a výdaje na konečnou spotřebu vládních institucí. Ve druhém čtvrtletí přispěl k růstu české ekonomiky také zahraniční obchod.</w:t>
      </w:r>
    </w:p>
    <w:p w:rsidR="00B34C1A" w:rsidRPr="001757FC" w:rsidRDefault="00B34C1A" w:rsidP="00B34C1A">
      <w:pPr>
        <w:spacing w:after="240" w:line="360" w:lineRule="auto"/>
        <w:jc w:val="both"/>
        <w:rPr>
          <w:b/>
          <w:bCs/>
        </w:rPr>
      </w:pPr>
      <w:r w:rsidRPr="001757FC">
        <w:tab/>
      </w:r>
      <w:r w:rsidRPr="001757FC">
        <w:rPr>
          <w:b/>
        </w:rPr>
        <w:t xml:space="preserve">Ekonomickou situaci domácností </w:t>
      </w:r>
      <w:r w:rsidRPr="001757FC">
        <w:t xml:space="preserve">v hodnoceném období </w:t>
      </w:r>
      <w:r w:rsidRPr="001757FC">
        <w:rPr>
          <w:b/>
        </w:rPr>
        <w:t>charakterizovaly zejména tyto skutečnosti:</w:t>
      </w:r>
    </w:p>
    <w:p w:rsidR="00B34C1A" w:rsidRPr="001757FC" w:rsidRDefault="00B34C1A" w:rsidP="00B34C1A">
      <w:pPr>
        <w:pStyle w:val="Odstavecseseznamem"/>
        <w:numPr>
          <w:ilvl w:val="0"/>
          <w:numId w:val="24"/>
        </w:numPr>
        <w:spacing w:after="240" w:line="360" w:lineRule="auto"/>
        <w:jc w:val="both"/>
        <w:rPr>
          <w:szCs w:val="24"/>
        </w:rPr>
      </w:pPr>
      <w:r w:rsidRPr="001757FC">
        <w:rPr>
          <w:b/>
          <w:szCs w:val="24"/>
        </w:rPr>
        <w:t>hrubý disponibilní důchod v sektoru</w:t>
      </w:r>
      <w:r w:rsidRPr="001757FC">
        <w:rPr>
          <w:b/>
          <w:bCs/>
          <w:szCs w:val="24"/>
        </w:rPr>
        <w:t xml:space="preserve"> domácností </w:t>
      </w:r>
      <w:r w:rsidRPr="001757FC">
        <w:rPr>
          <w:szCs w:val="24"/>
        </w:rPr>
        <w:t>(na bázi národních účtů)</w:t>
      </w:r>
      <w:r w:rsidRPr="001757FC">
        <w:rPr>
          <w:b/>
          <w:bCs/>
          <w:szCs w:val="24"/>
        </w:rPr>
        <w:t xml:space="preserve"> vzrostl </w:t>
      </w:r>
      <w:r w:rsidRPr="001757FC">
        <w:rPr>
          <w:szCs w:val="24"/>
        </w:rPr>
        <w:t xml:space="preserve">nominálně </w:t>
      </w:r>
      <w:r w:rsidRPr="001757FC">
        <w:rPr>
          <w:b/>
          <w:bCs/>
          <w:szCs w:val="24"/>
        </w:rPr>
        <w:t xml:space="preserve">o 2,9 %, méně se </w:t>
      </w:r>
      <w:r w:rsidRPr="001757FC">
        <w:rPr>
          <w:szCs w:val="24"/>
        </w:rPr>
        <w:t xml:space="preserve">meziročně </w:t>
      </w:r>
      <w:r w:rsidRPr="001757FC">
        <w:rPr>
          <w:b/>
          <w:szCs w:val="24"/>
        </w:rPr>
        <w:t>zvýšily</w:t>
      </w:r>
      <w:r w:rsidRPr="001757FC">
        <w:rPr>
          <w:szCs w:val="24"/>
        </w:rPr>
        <w:t xml:space="preserve"> celkové čisté </w:t>
      </w:r>
      <w:r w:rsidRPr="001757FC">
        <w:rPr>
          <w:b/>
          <w:bCs/>
          <w:szCs w:val="24"/>
        </w:rPr>
        <w:t xml:space="preserve">příjmy </w:t>
      </w:r>
      <w:r w:rsidRPr="001757FC">
        <w:rPr>
          <w:szCs w:val="24"/>
        </w:rPr>
        <w:t>konkrétních typů</w:t>
      </w:r>
      <w:r w:rsidRPr="001757FC">
        <w:rPr>
          <w:b/>
          <w:bCs/>
          <w:szCs w:val="24"/>
        </w:rPr>
        <w:t xml:space="preserve"> domácností</w:t>
      </w:r>
      <w:r w:rsidRPr="001757FC">
        <w:rPr>
          <w:bCs/>
          <w:szCs w:val="24"/>
        </w:rPr>
        <w:t xml:space="preserve"> </w:t>
      </w:r>
      <w:r w:rsidRPr="001757FC">
        <w:rPr>
          <w:szCs w:val="24"/>
        </w:rPr>
        <w:t xml:space="preserve">(podle statistiky rodinných účtů), a to v průměru </w:t>
      </w:r>
      <w:r w:rsidRPr="001757FC">
        <w:rPr>
          <w:b/>
          <w:szCs w:val="24"/>
        </w:rPr>
        <w:t xml:space="preserve">o 2,1 % </w:t>
      </w:r>
      <w:r w:rsidRPr="001757FC">
        <w:rPr>
          <w:szCs w:val="24"/>
        </w:rPr>
        <w:t>na osobu</w:t>
      </w:r>
      <w:r w:rsidRPr="001757FC">
        <w:rPr>
          <w:b/>
          <w:szCs w:val="24"/>
        </w:rPr>
        <w:t xml:space="preserve"> </w:t>
      </w:r>
      <w:r w:rsidRPr="001757FC">
        <w:rPr>
          <w:szCs w:val="24"/>
        </w:rPr>
        <w:t xml:space="preserve">měsíčně; </w:t>
      </w:r>
      <w:r w:rsidRPr="001757FC">
        <w:rPr>
          <w:b/>
          <w:szCs w:val="24"/>
        </w:rPr>
        <w:t>kupní síla příjmů</w:t>
      </w:r>
      <w:r w:rsidRPr="001757FC">
        <w:rPr>
          <w:szCs w:val="24"/>
        </w:rPr>
        <w:t xml:space="preserve"> vzhledem k nízké cenové inflaci rovněž </w:t>
      </w:r>
      <w:r w:rsidRPr="001757FC">
        <w:rPr>
          <w:b/>
          <w:szCs w:val="24"/>
        </w:rPr>
        <w:t>v úhrnu vzrostla (o 1,7 %),</w:t>
      </w:r>
    </w:p>
    <w:p w:rsidR="00B34C1A" w:rsidRPr="001757FC" w:rsidRDefault="00B34C1A" w:rsidP="00B34C1A">
      <w:pPr>
        <w:pStyle w:val="Odstavecseseznamem"/>
        <w:numPr>
          <w:ilvl w:val="0"/>
          <w:numId w:val="24"/>
        </w:numPr>
        <w:spacing w:after="240" w:line="360" w:lineRule="auto"/>
        <w:jc w:val="both"/>
        <w:rPr>
          <w:rFonts w:cs="Arial"/>
          <w:bCs/>
        </w:rPr>
      </w:pPr>
      <w:r w:rsidRPr="001757FC">
        <w:rPr>
          <w:rFonts w:cs="Arial"/>
          <w:b/>
          <w:bCs/>
        </w:rPr>
        <w:t>největším zdrojem peněžních příjmů</w:t>
      </w:r>
      <w:r w:rsidRPr="001757FC">
        <w:rPr>
          <w:rFonts w:cs="Arial"/>
          <w:bCs/>
        </w:rPr>
        <w:t xml:space="preserve"> domácností byly </w:t>
      </w:r>
      <w:r w:rsidRPr="001757FC">
        <w:rPr>
          <w:rFonts w:cs="Arial"/>
          <w:b/>
          <w:bCs/>
        </w:rPr>
        <w:t>mzdy;</w:t>
      </w:r>
      <w:r w:rsidRPr="001757FC">
        <w:rPr>
          <w:rFonts w:cs="Arial"/>
          <w:bCs/>
        </w:rPr>
        <w:t xml:space="preserve"> </w:t>
      </w:r>
      <w:r w:rsidRPr="001757FC">
        <w:rPr>
          <w:rFonts w:cs="Arial"/>
          <w:b/>
          <w:bCs/>
        </w:rPr>
        <w:t>průměrná nominální měsíční mzda v národním hospodářství</w:t>
      </w:r>
      <w:r w:rsidRPr="001757FC">
        <w:rPr>
          <w:rFonts w:cs="Arial"/>
          <w:bCs/>
        </w:rPr>
        <w:t xml:space="preserve"> (na přepočtené počty zaměstnanců) činila </w:t>
      </w:r>
      <w:r w:rsidRPr="001757FC">
        <w:rPr>
          <w:rFonts w:cs="Arial"/>
          <w:b/>
          <w:bCs/>
        </w:rPr>
        <w:t>25 810 Kč a její meziroční dynamika růstu se</w:t>
      </w:r>
      <w:r w:rsidRPr="001757FC">
        <w:rPr>
          <w:rFonts w:cs="Arial"/>
          <w:bCs/>
        </w:rPr>
        <w:t xml:space="preserve"> oproti  2,7 % v lednu – červnu</w:t>
      </w:r>
      <w:r w:rsidRPr="001757FC">
        <w:rPr>
          <w:rFonts w:cs="Arial"/>
          <w:b/>
          <w:bCs/>
        </w:rPr>
        <w:t xml:space="preserve"> </w:t>
      </w:r>
      <w:r w:rsidRPr="001757FC">
        <w:rPr>
          <w:rFonts w:cs="Arial"/>
          <w:bCs/>
        </w:rPr>
        <w:t>2014</w:t>
      </w:r>
      <w:r w:rsidRPr="001757FC">
        <w:rPr>
          <w:rFonts w:cs="Arial"/>
          <w:b/>
          <w:bCs/>
        </w:rPr>
        <w:t xml:space="preserve"> zvýšila na 2,9 %;</w:t>
      </w:r>
      <w:r w:rsidRPr="001757FC">
        <w:rPr>
          <w:rFonts w:cs="Arial"/>
          <w:bCs/>
        </w:rPr>
        <w:t xml:space="preserve"> po zohlednění vývoje cenové inflace došlo </w:t>
      </w:r>
      <w:r w:rsidRPr="001757FC">
        <w:rPr>
          <w:rFonts w:cs="Arial"/>
          <w:b/>
          <w:bCs/>
        </w:rPr>
        <w:t>k nárůstu reálné úrovně průměrné mzdy o 2,5 %,</w:t>
      </w:r>
    </w:p>
    <w:p w:rsidR="00B34C1A" w:rsidRPr="001757FC" w:rsidRDefault="00B34C1A" w:rsidP="00B34C1A">
      <w:pPr>
        <w:pStyle w:val="Odstavecseseznamem"/>
        <w:numPr>
          <w:ilvl w:val="0"/>
          <w:numId w:val="24"/>
        </w:numPr>
        <w:spacing w:after="240" w:line="360" w:lineRule="auto"/>
        <w:jc w:val="both"/>
        <w:rPr>
          <w:b/>
          <w:bCs/>
        </w:rPr>
      </w:pPr>
      <w:r w:rsidRPr="001757FC">
        <w:rPr>
          <w:b/>
          <w:bCs/>
        </w:rPr>
        <w:t>příjmy sociálního charakteru</w:t>
      </w:r>
      <w:r w:rsidRPr="001757FC">
        <w:rPr>
          <w:bCs/>
        </w:rPr>
        <w:t xml:space="preserve"> – </w:t>
      </w:r>
      <w:r w:rsidRPr="001757FC">
        <w:t xml:space="preserve">druhé nejvýznamnější složky úhrnných příjmů domácností – </w:t>
      </w:r>
      <w:r w:rsidRPr="001757FC">
        <w:rPr>
          <w:b/>
          <w:bCs/>
        </w:rPr>
        <w:t xml:space="preserve">vzrostly </w:t>
      </w:r>
      <w:r w:rsidRPr="001757FC">
        <w:rPr>
          <w:bCs/>
        </w:rPr>
        <w:t xml:space="preserve">(o 2,4 %); </w:t>
      </w:r>
      <w:r w:rsidRPr="001757FC">
        <w:rPr>
          <w:b/>
          <w:bCs/>
        </w:rPr>
        <w:t>pokles</w:t>
      </w:r>
      <w:r w:rsidRPr="001757FC">
        <w:rPr>
          <w:bCs/>
        </w:rPr>
        <w:t xml:space="preserve"> byl zaznamenán </w:t>
      </w:r>
      <w:r w:rsidRPr="001757FC">
        <w:rPr>
          <w:b/>
          <w:bCs/>
        </w:rPr>
        <w:t>u podpor v nezaměstnanosti, dávek pomoci v hmotné nouzi a dávek státní sociální podpory;</w:t>
      </w:r>
      <w:r w:rsidRPr="001757FC">
        <w:rPr>
          <w:bCs/>
        </w:rPr>
        <w:t xml:space="preserve"> </w:t>
      </w:r>
      <w:r w:rsidRPr="001757FC">
        <w:rPr>
          <w:b/>
          <w:bCs/>
        </w:rPr>
        <w:t xml:space="preserve">příjmy </w:t>
      </w:r>
      <w:r w:rsidRPr="001757FC">
        <w:rPr>
          <w:bCs/>
        </w:rPr>
        <w:t xml:space="preserve">občanů </w:t>
      </w:r>
      <w:r w:rsidRPr="001757FC">
        <w:rPr>
          <w:b/>
          <w:bCs/>
        </w:rPr>
        <w:t>z ostatních druhů</w:t>
      </w:r>
      <w:r w:rsidRPr="001757FC">
        <w:rPr>
          <w:bCs/>
        </w:rPr>
        <w:t xml:space="preserve"> sociálních </w:t>
      </w:r>
      <w:r w:rsidRPr="001757FC">
        <w:rPr>
          <w:b/>
          <w:bCs/>
        </w:rPr>
        <w:t>dávek se zvýšily,</w:t>
      </w:r>
      <w:r w:rsidRPr="001757FC">
        <w:t xml:space="preserve"> a </w:t>
      </w:r>
      <w:r w:rsidRPr="001757FC">
        <w:rPr>
          <w:bCs/>
        </w:rPr>
        <w:t>to jak v nominálním, tak i reálném vyjádření,</w:t>
      </w:r>
    </w:p>
    <w:p w:rsidR="00B34C1A" w:rsidRPr="001757FC" w:rsidRDefault="00B34C1A" w:rsidP="00B34C1A">
      <w:pPr>
        <w:pStyle w:val="Odstavecseseznamem"/>
        <w:numPr>
          <w:ilvl w:val="0"/>
          <w:numId w:val="24"/>
        </w:numPr>
        <w:spacing w:after="240" w:line="360" w:lineRule="auto"/>
        <w:jc w:val="both"/>
      </w:pPr>
      <w:r w:rsidRPr="001757FC">
        <w:rPr>
          <w:b/>
          <w:bCs/>
        </w:rPr>
        <w:lastRenderedPageBreak/>
        <w:t>průměrná výše</w:t>
      </w:r>
      <w:r w:rsidRPr="001757FC">
        <w:t xml:space="preserve"> (samostatně vypláceného) </w:t>
      </w:r>
      <w:r w:rsidRPr="001757FC">
        <w:rPr>
          <w:b/>
        </w:rPr>
        <w:t xml:space="preserve">starobního </w:t>
      </w:r>
      <w:r w:rsidRPr="001757FC">
        <w:rPr>
          <w:b/>
          <w:bCs/>
        </w:rPr>
        <w:t>důchodu</w:t>
      </w:r>
      <w:r w:rsidRPr="001757FC">
        <w:t xml:space="preserve"> </w:t>
      </w:r>
      <w:r w:rsidRPr="001757FC">
        <w:rPr>
          <w:b/>
        </w:rPr>
        <w:t xml:space="preserve">vzrostla o 2,4 % na </w:t>
      </w:r>
      <w:r w:rsidRPr="001757FC">
        <w:rPr>
          <w:b/>
          <w:bCs/>
        </w:rPr>
        <w:t>11 312 Kč,</w:t>
      </w:r>
      <w:r w:rsidRPr="001757FC">
        <w:t xml:space="preserve"> jeho reálná hodnota se zvýšila o 2,3 % (při zohlednění indexu životních nákladů domácností důchodců ve výši 100,1 %),</w:t>
      </w:r>
    </w:p>
    <w:p w:rsidR="00B34C1A" w:rsidRPr="001757FC" w:rsidRDefault="00B34C1A" w:rsidP="00B34C1A">
      <w:pPr>
        <w:pStyle w:val="Odstavecseseznamem"/>
        <w:numPr>
          <w:ilvl w:val="0"/>
          <w:numId w:val="24"/>
        </w:numPr>
        <w:spacing w:after="240" w:line="360" w:lineRule="auto"/>
        <w:jc w:val="both"/>
        <w:rPr>
          <w:b/>
          <w:bCs/>
        </w:rPr>
      </w:pPr>
      <w:r w:rsidRPr="001757FC">
        <w:rPr>
          <w:b/>
        </w:rPr>
        <w:t xml:space="preserve">snížil se průměrný </w:t>
      </w:r>
      <w:r w:rsidRPr="001757FC">
        <w:rPr>
          <w:b/>
          <w:bCs/>
        </w:rPr>
        <w:t xml:space="preserve">počet evidovaných nezaměstnaných </w:t>
      </w:r>
      <w:r w:rsidRPr="001757FC">
        <w:rPr>
          <w:bCs/>
        </w:rPr>
        <w:t>a zároveň i počet evidovaných nezaměstnaných s nárokem na podporu, přičemž</w:t>
      </w:r>
      <w:r w:rsidRPr="001757FC">
        <w:rPr>
          <w:b/>
          <w:bCs/>
        </w:rPr>
        <w:t xml:space="preserve"> průměrná výše podpory v nezaměstnanosti se</w:t>
      </w:r>
      <w:r w:rsidRPr="001757FC">
        <w:rPr>
          <w:bCs/>
        </w:rPr>
        <w:t xml:space="preserve"> meziročně </w:t>
      </w:r>
      <w:r w:rsidRPr="001757FC">
        <w:rPr>
          <w:b/>
          <w:bCs/>
        </w:rPr>
        <w:t xml:space="preserve">zvýšila o 3,2 % na 6 052 Kč </w:t>
      </w:r>
      <w:r w:rsidRPr="001757FC">
        <w:rPr>
          <w:bCs/>
        </w:rPr>
        <w:t>měsíčně,</w:t>
      </w:r>
    </w:p>
    <w:p w:rsidR="00B34C1A" w:rsidRPr="00B34C1A" w:rsidRDefault="00B34C1A" w:rsidP="00B34C1A">
      <w:pPr>
        <w:pStyle w:val="Odstavecseseznamem"/>
        <w:numPr>
          <w:ilvl w:val="0"/>
          <w:numId w:val="24"/>
        </w:numPr>
        <w:spacing w:after="240" w:line="360" w:lineRule="auto"/>
        <w:jc w:val="both"/>
        <w:rPr>
          <w:b/>
          <w:bCs/>
        </w:rPr>
      </w:pPr>
      <w:r w:rsidRPr="00B34C1A">
        <w:t xml:space="preserve">nadále nízký byl meziroční průměrný růst spotřebitelských cen (cenové inflace) o 0,4 %, přispěl k tomu nejvíce poměrně příznivý vývoj cen v rozhodujících skupinách spotřeby, tj. bydlení, výživa, doprava a zdraví; </w:t>
      </w:r>
      <w:r w:rsidRPr="00B34C1A">
        <w:rPr>
          <w:b/>
        </w:rPr>
        <w:t>příčinou</w:t>
      </w:r>
      <w:r w:rsidRPr="00B34C1A">
        <w:t xml:space="preserve"> nadále relativně nízkého cenového pohybu </w:t>
      </w:r>
      <w:r w:rsidRPr="00B34C1A">
        <w:rPr>
          <w:b/>
        </w:rPr>
        <w:t>byl</w:t>
      </w:r>
      <w:r w:rsidRPr="00B34C1A">
        <w:t xml:space="preserve"> lednový jen </w:t>
      </w:r>
      <w:r w:rsidRPr="00B34C1A">
        <w:rPr>
          <w:b/>
        </w:rPr>
        <w:t xml:space="preserve">nepatrný nárůst regulovaných cen </w:t>
      </w:r>
      <w:r w:rsidRPr="00B34C1A">
        <w:t>(při stagnaci cen elektřiny vzrostly ceny vodného, stočného a tepla)</w:t>
      </w:r>
      <w:r w:rsidRPr="00B34C1A">
        <w:rPr>
          <w:b/>
        </w:rPr>
        <w:t xml:space="preserve"> a nevýrazný pohyb cen všech tržních komodit </w:t>
      </w:r>
      <w:r w:rsidRPr="00B34C1A">
        <w:t>(s výjimkou pohonných hmot)</w:t>
      </w:r>
      <w:r w:rsidRPr="00B34C1A">
        <w:rPr>
          <w:b/>
        </w:rPr>
        <w:t xml:space="preserve"> </w:t>
      </w:r>
      <w:r w:rsidRPr="00B34C1A">
        <w:t>-</w:t>
      </w:r>
      <w:r w:rsidRPr="00B34C1A">
        <w:rPr>
          <w:b/>
        </w:rPr>
        <w:t xml:space="preserve"> </w:t>
      </w:r>
      <w:r w:rsidRPr="00B34C1A">
        <w:t xml:space="preserve"> blíže viz část 2,</w:t>
      </w:r>
    </w:p>
    <w:p w:rsidR="00B34C1A" w:rsidRPr="00B34C1A" w:rsidRDefault="00405024" w:rsidP="00B34C1A">
      <w:pPr>
        <w:pStyle w:val="Odstavecseseznamem"/>
        <w:numPr>
          <w:ilvl w:val="0"/>
          <w:numId w:val="24"/>
        </w:numPr>
        <w:spacing w:after="240" w:line="360" w:lineRule="auto"/>
        <w:jc w:val="both"/>
        <w:rPr>
          <w:b/>
          <w:bCs/>
        </w:rPr>
      </w:pPr>
      <w:r>
        <w:rPr>
          <w:b/>
        </w:rPr>
        <w:t>sit</w:t>
      </w:r>
      <w:r w:rsidR="00D350C7">
        <w:rPr>
          <w:b/>
        </w:rPr>
        <w:t>u</w:t>
      </w:r>
      <w:r>
        <w:rPr>
          <w:b/>
        </w:rPr>
        <w:t xml:space="preserve">ace </w:t>
      </w:r>
      <w:r w:rsidR="00B34C1A" w:rsidRPr="00B34C1A">
        <w:rPr>
          <w:b/>
        </w:rPr>
        <w:t>ve vývoji výdajů</w:t>
      </w:r>
      <w:r w:rsidR="00B34C1A" w:rsidRPr="00B34C1A">
        <w:t xml:space="preserve"> </w:t>
      </w:r>
      <w:r w:rsidR="00B34C1A" w:rsidRPr="00B34C1A">
        <w:rPr>
          <w:bCs/>
        </w:rPr>
        <w:t xml:space="preserve">domácností </w:t>
      </w:r>
      <w:r>
        <w:rPr>
          <w:bCs/>
        </w:rPr>
        <w:t xml:space="preserve">se </w:t>
      </w:r>
      <w:r w:rsidR="00B34C1A" w:rsidRPr="00B34C1A">
        <w:rPr>
          <w:b/>
        </w:rPr>
        <w:t>významněji nezměnila</w:t>
      </w:r>
      <w:r w:rsidR="00B34C1A" w:rsidRPr="00B34C1A">
        <w:rPr>
          <w:bCs/>
        </w:rPr>
        <w:t xml:space="preserve">: jeden </w:t>
      </w:r>
      <w:r w:rsidR="00B34C1A" w:rsidRPr="00B34C1A">
        <w:rPr>
          <w:b/>
          <w:bCs/>
        </w:rPr>
        <w:t>člen souboru</w:t>
      </w:r>
      <w:r w:rsidR="00B34C1A" w:rsidRPr="00B34C1A">
        <w:rPr>
          <w:bCs/>
        </w:rPr>
        <w:t xml:space="preserve"> statistiky rodinných účtů </w:t>
      </w:r>
      <w:r w:rsidR="00B34C1A" w:rsidRPr="00B34C1A">
        <w:rPr>
          <w:b/>
          <w:bCs/>
        </w:rPr>
        <w:t xml:space="preserve">vydal za zboží a služby </w:t>
      </w:r>
      <w:r w:rsidR="00B34C1A" w:rsidRPr="00B34C1A">
        <w:rPr>
          <w:bCs/>
        </w:rPr>
        <w:t>(celkem)</w:t>
      </w:r>
      <w:r w:rsidR="00B34C1A" w:rsidRPr="00B34C1A">
        <w:rPr>
          <w:b/>
          <w:bCs/>
        </w:rPr>
        <w:t xml:space="preserve"> měsíčně</w:t>
      </w:r>
      <w:r w:rsidR="00B34C1A" w:rsidRPr="00B34C1A">
        <w:rPr>
          <w:bCs/>
        </w:rPr>
        <w:t xml:space="preserve"> v průměru </w:t>
      </w:r>
      <w:r w:rsidR="00B34C1A" w:rsidRPr="00B34C1A">
        <w:rPr>
          <w:b/>
          <w:bCs/>
        </w:rPr>
        <w:t>10 545 Kč</w:t>
      </w:r>
      <w:r w:rsidR="00B34C1A" w:rsidRPr="00B34C1A">
        <w:rPr>
          <w:bCs/>
        </w:rPr>
        <w:t xml:space="preserve"> (nominálně o 0,6 % více než před rokem) – podrobněji viz část 3,</w:t>
      </w:r>
    </w:p>
    <w:p w:rsidR="00B34C1A" w:rsidRPr="00B34C1A" w:rsidRDefault="00B34C1A" w:rsidP="00B34C1A">
      <w:pPr>
        <w:pStyle w:val="Odstavecseseznamem"/>
        <w:numPr>
          <w:ilvl w:val="0"/>
          <w:numId w:val="24"/>
        </w:numPr>
        <w:spacing w:after="240" w:line="360" w:lineRule="auto"/>
        <w:jc w:val="both"/>
        <w:rPr>
          <w:b/>
          <w:bCs/>
        </w:rPr>
      </w:pPr>
      <w:r w:rsidRPr="00B34C1A">
        <w:rPr>
          <w:b/>
          <w:bCs/>
        </w:rPr>
        <w:t xml:space="preserve">celkový objem půjček domácností u bank </w:t>
      </w:r>
      <w:r w:rsidRPr="00B34C1A">
        <w:rPr>
          <w:bCs/>
        </w:rPr>
        <w:t xml:space="preserve">se meziročně zvýšil o 80,0 mld. Kč a </w:t>
      </w:r>
      <w:r w:rsidRPr="00B34C1A">
        <w:rPr>
          <w:b/>
          <w:bCs/>
        </w:rPr>
        <w:t>dosáhl 1 278,6 mld. Kč;</w:t>
      </w:r>
      <w:r w:rsidRPr="00B34C1A">
        <w:t xml:space="preserve"> </w:t>
      </w:r>
      <w:r w:rsidRPr="00B34C1A">
        <w:rPr>
          <w:b/>
        </w:rPr>
        <w:t>rozhodující část</w:t>
      </w:r>
      <w:r w:rsidRPr="00B34C1A">
        <w:t xml:space="preserve"> nadále</w:t>
      </w:r>
      <w:r w:rsidRPr="00B34C1A">
        <w:rPr>
          <w:bCs/>
        </w:rPr>
        <w:t xml:space="preserve"> představovaly </w:t>
      </w:r>
      <w:r w:rsidRPr="00B34C1A">
        <w:rPr>
          <w:b/>
          <w:bCs/>
        </w:rPr>
        <w:t xml:space="preserve">hypoteční a jiné úvěry na bydlení </w:t>
      </w:r>
      <w:r w:rsidRPr="00B34C1A">
        <w:rPr>
          <w:bCs/>
        </w:rPr>
        <w:t>(přírůstek 59,1 mld. Kč, tj. o 6,8 % meziročně)</w:t>
      </w:r>
      <w:r w:rsidRPr="00B34C1A">
        <w:t>,</w:t>
      </w:r>
    </w:p>
    <w:p w:rsidR="00B34C1A" w:rsidRPr="00B34C1A" w:rsidRDefault="00B34C1A" w:rsidP="00B34C1A">
      <w:pPr>
        <w:pStyle w:val="Odstavecseseznamem"/>
        <w:numPr>
          <w:ilvl w:val="0"/>
          <w:numId w:val="24"/>
        </w:numPr>
        <w:spacing w:after="240" w:line="360" w:lineRule="auto"/>
        <w:jc w:val="both"/>
        <w:rPr>
          <w:b/>
          <w:bCs/>
        </w:rPr>
      </w:pPr>
      <w:r w:rsidRPr="00B34C1A">
        <w:rPr>
          <w:b/>
          <w:bCs/>
          <w:szCs w:val="24"/>
        </w:rPr>
        <w:t>domácnosti</w:t>
      </w:r>
      <w:r w:rsidRPr="00B34C1A">
        <w:rPr>
          <w:bCs/>
          <w:szCs w:val="24"/>
        </w:rPr>
        <w:t xml:space="preserve"> nadále </w:t>
      </w:r>
      <w:r w:rsidRPr="00B34C1A">
        <w:rPr>
          <w:b/>
          <w:bCs/>
          <w:szCs w:val="24"/>
        </w:rPr>
        <w:t xml:space="preserve">navyšovaly </w:t>
      </w:r>
      <w:r w:rsidRPr="00B34C1A">
        <w:rPr>
          <w:bCs/>
          <w:szCs w:val="24"/>
        </w:rPr>
        <w:t>své (bankovní)</w:t>
      </w:r>
      <w:r w:rsidRPr="00B34C1A">
        <w:rPr>
          <w:b/>
          <w:bCs/>
          <w:szCs w:val="24"/>
        </w:rPr>
        <w:t xml:space="preserve"> úspory </w:t>
      </w:r>
      <w:r w:rsidRPr="00B34C1A">
        <w:rPr>
          <w:bCs/>
          <w:szCs w:val="24"/>
        </w:rPr>
        <w:t>–</w:t>
      </w:r>
      <w:r w:rsidRPr="00B34C1A">
        <w:rPr>
          <w:b/>
          <w:bCs/>
          <w:szCs w:val="24"/>
        </w:rPr>
        <w:t xml:space="preserve"> </w:t>
      </w:r>
      <w:r w:rsidRPr="00B34C1A">
        <w:rPr>
          <w:bCs/>
          <w:szCs w:val="24"/>
        </w:rPr>
        <w:t>jejich</w:t>
      </w:r>
      <w:r w:rsidRPr="00B34C1A">
        <w:rPr>
          <w:b/>
          <w:bCs/>
          <w:szCs w:val="24"/>
        </w:rPr>
        <w:t xml:space="preserve"> </w:t>
      </w:r>
      <w:r w:rsidRPr="00B34C1A">
        <w:rPr>
          <w:bCs/>
          <w:szCs w:val="24"/>
        </w:rPr>
        <w:t>objem</w:t>
      </w:r>
      <w:r w:rsidRPr="00B34C1A">
        <w:rPr>
          <w:szCs w:val="24"/>
        </w:rPr>
        <w:t xml:space="preserve"> </w:t>
      </w:r>
      <w:r w:rsidRPr="00B34C1A">
        <w:rPr>
          <w:bCs/>
          <w:szCs w:val="24"/>
        </w:rPr>
        <w:t xml:space="preserve">se </w:t>
      </w:r>
      <w:r w:rsidRPr="00B34C1A">
        <w:rPr>
          <w:szCs w:val="24"/>
        </w:rPr>
        <w:t xml:space="preserve">podle dostupných údajů České národní banky </w:t>
      </w:r>
      <w:r w:rsidRPr="00B34C1A">
        <w:rPr>
          <w:bCs/>
          <w:szCs w:val="24"/>
        </w:rPr>
        <w:t>v červnu</w:t>
      </w:r>
      <w:r w:rsidRPr="00B34C1A">
        <w:rPr>
          <w:szCs w:val="24"/>
        </w:rPr>
        <w:t xml:space="preserve"> letošního roku meziročně </w:t>
      </w:r>
      <w:r w:rsidRPr="00B34C1A">
        <w:rPr>
          <w:bCs/>
          <w:szCs w:val="24"/>
        </w:rPr>
        <w:t>zvýšil o 98,6 mld. Kč</w:t>
      </w:r>
      <w:r w:rsidRPr="00B34C1A">
        <w:rPr>
          <w:b/>
          <w:bCs/>
          <w:szCs w:val="24"/>
        </w:rPr>
        <w:t xml:space="preserve"> na 1 962,7 mld. Kč</w:t>
      </w:r>
      <w:r w:rsidRPr="00B34C1A">
        <w:rPr>
          <w:b/>
          <w:bCs/>
          <w:szCs w:val="24"/>
          <w:lang w:val="en-US"/>
        </w:rPr>
        <w:t>;</w:t>
      </w:r>
      <w:r w:rsidRPr="00B34C1A">
        <w:rPr>
          <w:b/>
          <w:bCs/>
          <w:szCs w:val="24"/>
        </w:rPr>
        <w:t xml:space="preserve"> </w:t>
      </w:r>
      <w:r w:rsidRPr="00B34C1A">
        <w:rPr>
          <w:bCs/>
          <w:szCs w:val="24"/>
        </w:rPr>
        <w:t xml:space="preserve">vzhledem k nízkým úrokovým sazbám z vkladů </w:t>
      </w:r>
      <w:r w:rsidRPr="00B34C1A">
        <w:rPr>
          <w:b/>
          <w:bCs/>
          <w:szCs w:val="24"/>
        </w:rPr>
        <w:t>preferovaly</w:t>
      </w:r>
      <w:r w:rsidRPr="00B34C1A">
        <w:rPr>
          <w:bCs/>
          <w:szCs w:val="24"/>
        </w:rPr>
        <w:t xml:space="preserve"> opět </w:t>
      </w:r>
      <w:r w:rsidRPr="00B34C1A">
        <w:rPr>
          <w:b/>
          <w:bCs/>
          <w:szCs w:val="24"/>
        </w:rPr>
        <w:t>netermínované</w:t>
      </w:r>
      <w:r w:rsidRPr="00B34C1A">
        <w:rPr>
          <w:bCs/>
          <w:szCs w:val="24"/>
        </w:rPr>
        <w:t xml:space="preserve"> krátkodobé </w:t>
      </w:r>
      <w:r w:rsidRPr="00B34C1A">
        <w:rPr>
          <w:b/>
          <w:bCs/>
          <w:szCs w:val="24"/>
        </w:rPr>
        <w:t xml:space="preserve">finanční produkty </w:t>
      </w:r>
      <w:r w:rsidRPr="00B34C1A">
        <w:rPr>
          <w:bCs/>
          <w:szCs w:val="24"/>
        </w:rPr>
        <w:t>a také využívaly ve větší míře</w:t>
      </w:r>
      <w:r w:rsidRPr="00B34C1A">
        <w:rPr>
          <w:b/>
          <w:bCs/>
          <w:szCs w:val="24"/>
        </w:rPr>
        <w:t xml:space="preserve"> alternativní formy spoření.</w:t>
      </w:r>
    </w:p>
    <w:p w:rsidR="001F5BEA" w:rsidRDefault="001F5BEA" w:rsidP="001F6F82">
      <w:pPr>
        <w:jc w:val="center"/>
        <w:rPr>
          <w:bCs/>
        </w:rPr>
      </w:pPr>
    </w:p>
    <w:p w:rsidR="00B34C1A" w:rsidRDefault="00B34C1A" w:rsidP="001F6F82">
      <w:pPr>
        <w:jc w:val="center"/>
        <w:rPr>
          <w:i/>
          <w:iCs/>
        </w:rPr>
      </w:pPr>
      <w:r w:rsidRPr="00B34C1A">
        <w:rPr>
          <w:bCs/>
        </w:rPr>
        <w:t>*</w:t>
      </w:r>
      <w:r w:rsidRPr="00B34C1A">
        <w:rPr>
          <w:i/>
          <w:iCs/>
        </w:rPr>
        <w:t xml:space="preserve">                         *                         *</w:t>
      </w:r>
    </w:p>
    <w:p w:rsidR="001F5BEA" w:rsidRPr="00B34C1A" w:rsidRDefault="001F5BEA" w:rsidP="001F6F82">
      <w:pPr>
        <w:jc w:val="center"/>
        <w:rPr>
          <w:i/>
          <w:iCs/>
        </w:rPr>
      </w:pPr>
    </w:p>
    <w:p w:rsidR="00B34C1A" w:rsidRPr="00B34C1A" w:rsidRDefault="00B34C1A" w:rsidP="0051503B">
      <w:pPr>
        <w:spacing w:after="240" w:line="360" w:lineRule="auto"/>
        <w:jc w:val="both"/>
        <w:rPr>
          <w:i/>
          <w:iCs/>
        </w:rPr>
      </w:pPr>
      <w:r w:rsidRPr="00B34C1A">
        <w:lastRenderedPageBreak/>
        <w:tab/>
      </w:r>
      <w:r w:rsidRPr="00B34C1A">
        <w:rPr>
          <w:i/>
          <w:iCs/>
        </w:rPr>
        <w:t>V dalších částech Zprávy je uvedena základní charakteristika a hodnocení souvislostí, které v lednu – červnu 2015 ovlivňovaly vývoj příjmů a výdajů domácností v České republice. Jejím hlavním cílem je vyjádřit především rozhodující tendence ve vývoji základních (dostupných) ukazatelů životní úrovně českých domácností.</w:t>
      </w:r>
    </w:p>
    <w:p w:rsidR="00B34C1A" w:rsidRPr="00B34C1A" w:rsidRDefault="00B34C1A" w:rsidP="0051503B">
      <w:pPr>
        <w:spacing w:after="240" w:line="360" w:lineRule="auto"/>
        <w:jc w:val="both"/>
        <w:rPr>
          <w:i/>
          <w:iCs/>
        </w:rPr>
      </w:pPr>
      <w:r w:rsidRPr="00B34C1A">
        <w:rPr>
          <w:i/>
          <w:iCs/>
        </w:rPr>
        <w:tab/>
        <w:t>Je třeba upozornit na skutečnost, že statistika rodinných účtů – na rozdíl od</w:t>
      </w:r>
      <w:r w:rsidR="00822A5F">
        <w:rPr>
          <w:i/>
          <w:iCs/>
        </w:rPr>
        <w:t> </w:t>
      </w:r>
      <w:r w:rsidRPr="00B34C1A">
        <w:rPr>
          <w:i/>
          <w:iCs/>
        </w:rPr>
        <w:t>národních účtů –</w:t>
      </w:r>
      <w:r w:rsidR="00405024">
        <w:rPr>
          <w:i/>
          <w:iCs/>
        </w:rPr>
        <w:t xml:space="preserve"> slouží především k podchycení údajů o vydáních a spotřebě domácností</w:t>
      </w:r>
      <w:r w:rsidRPr="00B34C1A">
        <w:rPr>
          <w:i/>
          <w:iCs/>
        </w:rPr>
        <w:t xml:space="preserve">, </w:t>
      </w:r>
      <w:r w:rsidR="00405024">
        <w:rPr>
          <w:i/>
          <w:iCs/>
        </w:rPr>
        <w:t>zatímco příjmy</w:t>
      </w:r>
      <w:r w:rsidRPr="00B34C1A">
        <w:rPr>
          <w:i/>
          <w:iCs/>
        </w:rPr>
        <w:t xml:space="preserve"> jsou</w:t>
      </w:r>
      <w:r w:rsidR="00405024">
        <w:rPr>
          <w:i/>
          <w:iCs/>
        </w:rPr>
        <w:t xml:space="preserve"> v ní</w:t>
      </w:r>
      <w:r w:rsidRPr="00B34C1A">
        <w:rPr>
          <w:i/>
          <w:iCs/>
        </w:rPr>
        <w:t xml:space="preserve"> sledovány jen doplňkově</w:t>
      </w:r>
      <w:r w:rsidR="00405024">
        <w:rPr>
          <w:i/>
          <w:iCs/>
        </w:rPr>
        <w:t>, spíš jako klasifikační hledisko (pro účely třídění domácností podle výše příjmu).</w:t>
      </w:r>
      <w:r w:rsidRPr="00B34C1A">
        <w:rPr>
          <w:i/>
          <w:iCs/>
        </w:rPr>
        <w:t xml:space="preserve"> </w:t>
      </w:r>
      <w:r w:rsidR="00D15DD5">
        <w:rPr>
          <w:i/>
          <w:iCs/>
        </w:rPr>
        <w:t>P</w:t>
      </w:r>
      <w:r w:rsidRPr="00B34C1A">
        <w:rPr>
          <w:i/>
          <w:iCs/>
        </w:rPr>
        <w:t>řesto jsou (vzhledem k absenci jiných aktuálních zdrojů) jediným zdrojem dat pro základní hodnocení v konkrétním období</w:t>
      </w:r>
      <w:r w:rsidR="00D15DD5">
        <w:rPr>
          <w:i/>
          <w:iCs/>
        </w:rPr>
        <w:t>. V d</w:t>
      </w:r>
      <w:r w:rsidR="00D350C7">
        <w:rPr>
          <w:i/>
          <w:iCs/>
        </w:rPr>
        <w:t>ů</w:t>
      </w:r>
      <w:r w:rsidR="00D15DD5">
        <w:rPr>
          <w:i/>
          <w:iCs/>
        </w:rPr>
        <w:t>sledku omezeného rozsahu výběrového souboru respondentů jsou navíc čtvrtletní výsledky citlivé na výskyt mimořádných příjmů</w:t>
      </w:r>
      <w:r w:rsidR="00D350C7">
        <w:rPr>
          <w:i/>
          <w:iCs/>
        </w:rPr>
        <w:t>,</w:t>
      </w:r>
      <w:r w:rsidR="00D15DD5">
        <w:rPr>
          <w:i/>
          <w:iCs/>
        </w:rPr>
        <w:t xml:space="preserve"> resp. vydání (s vysokou hodnotou </w:t>
      </w:r>
      <w:r w:rsidR="00D350C7">
        <w:rPr>
          <w:i/>
          <w:iCs/>
        </w:rPr>
        <w:t xml:space="preserve">v </w:t>
      </w:r>
      <w:r w:rsidR="00D15DD5">
        <w:rPr>
          <w:i/>
          <w:iCs/>
        </w:rPr>
        <w:t>Kč –</w:t>
      </w:r>
      <w:r w:rsidR="00D350C7">
        <w:rPr>
          <w:i/>
          <w:iCs/>
        </w:rPr>
        <w:t xml:space="preserve"> </w:t>
      </w:r>
      <w:r w:rsidR="00D15DD5">
        <w:rPr>
          <w:i/>
          <w:iCs/>
        </w:rPr>
        <w:t xml:space="preserve">např. nákupy auta či bytu, příjmy z prodeje nemovitostí, mimořádné výplaty pojistného </w:t>
      </w:r>
      <w:proofErr w:type="spellStart"/>
      <w:r w:rsidR="00D15DD5">
        <w:rPr>
          <w:i/>
          <w:iCs/>
        </w:rPr>
        <w:t>apod</w:t>
      </w:r>
      <w:proofErr w:type="spellEnd"/>
      <w:r w:rsidR="00D15DD5">
        <w:rPr>
          <w:i/>
          <w:iCs/>
        </w:rPr>
        <w:t>).</w:t>
      </w:r>
      <w:r w:rsidRPr="00B34C1A">
        <w:rPr>
          <w:i/>
          <w:iCs/>
        </w:rPr>
        <w:t xml:space="preserve"> </w:t>
      </w:r>
      <w:r w:rsidR="00D645DB">
        <w:rPr>
          <w:i/>
          <w:iCs/>
        </w:rPr>
        <w:t>Aby vůbec bylo možné podchytit</w:t>
      </w:r>
      <w:r w:rsidRPr="00B34C1A">
        <w:rPr>
          <w:i/>
          <w:iCs/>
        </w:rPr>
        <w:t xml:space="preserve"> </w:t>
      </w:r>
      <w:r w:rsidR="00D645DB">
        <w:rPr>
          <w:i/>
          <w:iCs/>
        </w:rPr>
        <w:t>skutečné vývojové tendence a nedocházelo k jejich zkreslené interpretaci, jsou podkladová data o tyto případné mimořádné položky očištěna (a v důsledku toho se mohou lišit od výsledků publikovaných ČSÚ).</w:t>
      </w:r>
      <w:r w:rsidRPr="00B34C1A">
        <w:rPr>
          <w:i/>
          <w:iCs/>
        </w:rPr>
        <w:t xml:space="preserve"> Výsledky statistiky rodinných účtů jsou rovněž významné pro kvalifikované odhady dopadů různých vládních opatření (administrativní opatření, regulace cen apod.) na sociální politiku státu, což platí i pro statistiku spotřebitelských cen.</w:t>
      </w:r>
    </w:p>
    <w:p w:rsidR="00B34C1A" w:rsidRPr="00B34C1A" w:rsidRDefault="00B34C1A" w:rsidP="0051503B">
      <w:pPr>
        <w:spacing w:after="240" w:line="360" w:lineRule="auto"/>
        <w:jc w:val="both"/>
        <w:rPr>
          <w:i/>
          <w:iCs/>
        </w:rPr>
      </w:pPr>
      <w:r w:rsidRPr="00B34C1A">
        <w:rPr>
          <w:i/>
          <w:iCs/>
        </w:rPr>
        <w:tab/>
        <w:t>Při zpracování materiálu byla použita zejména data a analýzy: MPSV, ČSÚ, MF ČR, ČNB, ČSSZ, AKAT, ČLFA a odborného periodického tisku.</w:t>
      </w:r>
    </w:p>
    <w:p w:rsidR="00B34C1A" w:rsidRPr="00B34C1A" w:rsidRDefault="00B34C1A" w:rsidP="0051503B">
      <w:pPr>
        <w:spacing w:after="240" w:line="360" w:lineRule="auto"/>
        <w:jc w:val="both"/>
        <w:rPr>
          <w:i/>
          <w:iCs/>
        </w:rPr>
      </w:pPr>
      <w:r w:rsidRPr="00B34C1A">
        <w:rPr>
          <w:rFonts w:cs="Arial"/>
        </w:rPr>
        <w:tab/>
      </w:r>
      <w:r w:rsidRPr="00B34C1A">
        <w:rPr>
          <w:i/>
          <w:iCs/>
        </w:rPr>
        <w:t>Rozbor pohybu výdělků jednotlivých zaměstnanců (zvláštní část přílohy) umožnila data Informačního systému o průměrném výdělku za 1. pololetí 2015 (pokrývající 18 992 ekonomických subjektů zaměstnávajících 2 093 tis. zaměstnanců) v gesci MPSV.</w:t>
      </w:r>
    </w:p>
    <w:p w:rsidR="00B34C1A" w:rsidRPr="00B34C1A" w:rsidRDefault="00B34C1A" w:rsidP="00B34C1A">
      <w:pPr>
        <w:spacing w:line="360" w:lineRule="auto"/>
        <w:jc w:val="both"/>
        <w:rPr>
          <w:i/>
          <w:iCs/>
        </w:rPr>
      </w:pPr>
      <w:r w:rsidRPr="00B34C1A">
        <w:rPr>
          <w:i/>
          <w:iCs/>
        </w:rPr>
        <w:tab/>
        <w:t>Zhodnocení dalšího vývoje bude předmětem zprávy hodnotící vývoj těchto atributů za 1. -  3. čtvrtletí 2015, která bude předložena vládě koncem ledna 2016.</w:t>
      </w:r>
    </w:p>
    <w:p w:rsidR="0026628D" w:rsidRDefault="0026628D" w:rsidP="00B34C1A">
      <w:pPr>
        <w:spacing w:line="360" w:lineRule="auto"/>
        <w:jc w:val="both"/>
        <w:rPr>
          <w:i/>
          <w:iCs/>
        </w:rPr>
      </w:pPr>
    </w:p>
    <w:p w:rsidR="0026628D" w:rsidRPr="00B34C1A" w:rsidRDefault="0026628D" w:rsidP="00B34C1A">
      <w:pPr>
        <w:spacing w:line="360" w:lineRule="auto"/>
        <w:jc w:val="both"/>
        <w:rPr>
          <w:i/>
          <w:iCs/>
        </w:rPr>
      </w:pPr>
    </w:p>
    <w:p w:rsidR="00B34C1A" w:rsidRPr="00B34C1A" w:rsidRDefault="00B34C1A" w:rsidP="00B34C1A">
      <w:pPr>
        <w:spacing w:line="360" w:lineRule="auto"/>
        <w:jc w:val="both"/>
      </w:pPr>
      <w:r w:rsidRPr="00B34C1A">
        <w:rPr>
          <w:i/>
          <w:iCs/>
          <w:u w:val="single"/>
        </w:rPr>
        <w:t>Zpráva obsahuje data platná k 15. říjnu 2015.</w:t>
      </w:r>
    </w:p>
    <w:p w:rsidR="00411B81" w:rsidRPr="00B863CC" w:rsidRDefault="00411B81" w:rsidP="008D3D86">
      <w:pPr>
        <w:pStyle w:val="Nadpis1"/>
        <w:numPr>
          <w:ilvl w:val="0"/>
          <w:numId w:val="5"/>
        </w:numPr>
        <w:tabs>
          <w:tab w:val="num" w:pos="-142"/>
        </w:tabs>
        <w:ind w:left="567"/>
        <w:rPr>
          <w:i/>
          <w:iCs/>
          <w:szCs w:val="36"/>
        </w:rPr>
      </w:pPr>
      <w:r w:rsidRPr="00B863CC">
        <w:rPr>
          <w:i/>
          <w:iCs/>
          <w:szCs w:val="36"/>
        </w:rPr>
        <w:lastRenderedPageBreak/>
        <w:t>Vývoj hlavních skupin příjmů, životních nákladů, výdajů a úspor domácností</w:t>
      </w:r>
    </w:p>
    <w:p w:rsidR="00411B81" w:rsidRPr="00B863CC" w:rsidRDefault="00411B81" w:rsidP="00411B81">
      <w:pPr>
        <w:tabs>
          <w:tab w:val="num" w:pos="-142"/>
        </w:tabs>
        <w:ind w:left="567"/>
        <w:rPr>
          <w:i/>
          <w:iCs/>
          <w:sz w:val="36"/>
          <w:szCs w:val="36"/>
        </w:rPr>
      </w:pPr>
      <w:r w:rsidRPr="00B863CC">
        <w:rPr>
          <w:i/>
          <w:iCs/>
          <w:sz w:val="36"/>
          <w:szCs w:val="36"/>
        </w:rPr>
        <w:t>(podrobnější zhodnocení)</w:t>
      </w:r>
    </w:p>
    <w:p w:rsidR="00D04975" w:rsidRDefault="00D04975" w:rsidP="00411B81">
      <w:pPr>
        <w:spacing w:line="360" w:lineRule="auto"/>
        <w:jc w:val="both"/>
        <w:rPr>
          <w:i/>
          <w:iCs/>
          <w:u w:val="single"/>
        </w:rPr>
      </w:pPr>
    </w:p>
    <w:p w:rsidR="006E0781" w:rsidRPr="00D63CC5" w:rsidRDefault="006E0781" w:rsidP="00411B81">
      <w:pPr>
        <w:spacing w:line="360" w:lineRule="auto"/>
        <w:jc w:val="both"/>
        <w:rPr>
          <w:i/>
          <w:iCs/>
          <w:u w:val="single"/>
        </w:rPr>
      </w:pPr>
    </w:p>
    <w:p w:rsidR="00411B81" w:rsidRDefault="00411B81" w:rsidP="00411B81">
      <w:pPr>
        <w:pStyle w:val="Nadpis1"/>
        <w:numPr>
          <w:ilvl w:val="0"/>
          <w:numId w:val="0"/>
        </w:numPr>
        <w:spacing w:line="240" w:lineRule="auto"/>
      </w:pPr>
      <w:r>
        <w:t>1. Příjmy domácností</w:t>
      </w:r>
    </w:p>
    <w:p w:rsidR="00411B81" w:rsidRDefault="00411B81" w:rsidP="00D04975">
      <w:pPr>
        <w:pStyle w:val="Zpat"/>
        <w:tabs>
          <w:tab w:val="clear" w:pos="4536"/>
          <w:tab w:val="clear" w:pos="9072"/>
        </w:tabs>
        <w:spacing w:line="360" w:lineRule="auto"/>
      </w:pPr>
    </w:p>
    <w:p w:rsidR="006E0781" w:rsidRDefault="006E0781" w:rsidP="00D04975">
      <w:pPr>
        <w:pStyle w:val="Zpat"/>
        <w:tabs>
          <w:tab w:val="clear" w:pos="4536"/>
          <w:tab w:val="clear" w:pos="9072"/>
        </w:tabs>
        <w:spacing w:line="360" w:lineRule="auto"/>
      </w:pPr>
    </w:p>
    <w:p w:rsidR="00411B81" w:rsidRDefault="00411B81" w:rsidP="00411B81">
      <w:pPr>
        <w:spacing w:line="360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1. 1 Základní charakteristika</w:t>
      </w:r>
    </w:p>
    <w:p w:rsidR="002A18EE" w:rsidRPr="009C244C" w:rsidRDefault="002A18EE" w:rsidP="006E0781">
      <w:pPr>
        <w:spacing w:line="360" w:lineRule="auto"/>
        <w:jc w:val="both"/>
      </w:pPr>
    </w:p>
    <w:p w:rsidR="002A18EE" w:rsidRDefault="002A18EE" w:rsidP="00D04975">
      <w:pPr>
        <w:spacing w:after="240" w:line="360" w:lineRule="auto"/>
        <w:jc w:val="both"/>
        <w:rPr>
          <w:rFonts w:cs="Arial"/>
        </w:rPr>
      </w:pPr>
      <w:r w:rsidRPr="009C244C">
        <w:tab/>
      </w:r>
      <w:r w:rsidRPr="00FD4FB6">
        <w:rPr>
          <w:rFonts w:cs="Arial"/>
          <w:b/>
          <w:bCs/>
        </w:rPr>
        <w:t xml:space="preserve">Běžné příjmy </w:t>
      </w:r>
      <w:r w:rsidRPr="00FD4FB6">
        <w:rPr>
          <w:rFonts w:cs="Arial"/>
        </w:rPr>
        <w:t>sektoru domácností</w:t>
      </w:r>
      <w:r w:rsidRPr="00FD4FB6">
        <w:rPr>
          <w:rFonts w:cs="Arial"/>
          <w:b/>
          <w:bCs/>
        </w:rPr>
        <w:t xml:space="preserve"> </w:t>
      </w:r>
      <w:r w:rsidRPr="00FD4FB6">
        <w:rPr>
          <w:rFonts w:cs="Arial"/>
        </w:rPr>
        <w:t>(podle statistiky národních účtů)</w:t>
      </w:r>
      <w:r w:rsidRPr="00FD4FB6">
        <w:rPr>
          <w:rFonts w:cs="Arial"/>
          <w:b/>
          <w:bCs/>
        </w:rPr>
        <w:t xml:space="preserve"> dosáhly </w:t>
      </w:r>
      <w:r w:rsidRPr="00FD4FB6">
        <w:rPr>
          <w:rFonts w:cs="Arial"/>
        </w:rPr>
        <w:t xml:space="preserve">celkové </w:t>
      </w:r>
      <w:r w:rsidRPr="00FD4FB6">
        <w:rPr>
          <w:rFonts w:cs="Arial"/>
          <w:b/>
          <w:bCs/>
        </w:rPr>
        <w:t>výše</w:t>
      </w:r>
      <w:r w:rsidRPr="00FD4FB6">
        <w:rPr>
          <w:rFonts w:cs="Arial"/>
        </w:rPr>
        <w:t xml:space="preserve"> </w:t>
      </w:r>
      <w:r w:rsidRPr="00FD4FB6">
        <w:rPr>
          <w:rFonts w:cs="Arial"/>
          <w:b/>
          <w:bCs/>
        </w:rPr>
        <w:t>1</w:t>
      </w:r>
      <w:r>
        <w:rPr>
          <w:rFonts w:cs="Arial"/>
          <w:b/>
          <w:bCs/>
        </w:rPr>
        <w:t> </w:t>
      </w:r>
      <w:r w:rsidRPr="00FD4FB6">
        <w:rPr>
          <w:rFonts w:cs="Arial"/>
          <w:b/>
          <w:bCs/>
        </w:rPr>
        <w:t>634,1 mld.</w:t>
      </w:r>
      <w:r>
        <w:rPr>
          <w:rFonts w:cs="Arial"/>
          <w:b/>
          <w:bCs/>
        </w:rPr>
        <w:t> </w:t>
      </w:r>
      <w:r w:rsidRPr="00FD4FB6">
        <w:rPr>
          <w:rFonts w:cs="Arial"/>
          <w:b/>
          <w:bCs/>
        </w:rPr>
        <w:t>Kč.</w:t>
      </w:r>
      <w:r w:rsidRPr="00FD4FB6">
        <w:rPr>
          <w:rFonts w:cs="Arial"/>
        </w:rPr>
        <w:t xml:space="preserve"> Meziročně tak </w:t>
      </w:r>
      <w:r w:rsidRPr="00FD4FB6">
        <w:rPr>
          <w:rFonts w:cs="Arial"/>
          <w:b/>
        </w:rPr>
        <w:t>vzrostly</w:t>
      </w:r>
      <w:r w:rsidRPr="00FD4FB6">
        <w:rPr>
          <w:rFonts w:cs="Arial"/>
          <w:b/>
          <w:bCs/>
        </w:rPr>
        <w:t xml:space="preserve"> nominálně o 2,9 % </w:t>
      </w:r>
      <w:r w:rsidRPr="00FD4FB6">
        <w:rPr>
          <w:rFonts w:cs="Arial"/>
          <w:bCs/>
        </w:rPr>
        <w:t xml:space="preserve">(+46,6 mld. Kč) </w:t>
      </w:r>
      <w:r w:rsidRPr="00FD4FB6">
        <w:rPr>
          <w:rFonts w:cs="Arial"/>
          <w:b/>
          <w:bCs/>
        </w:rPr>
        <w:t>a reálně o 2,5</w:t>
      </w:r>
      <w:r>
        <w:rPr>
          <w:rFonts w:cs="Arial"/>
          <w:b/>
          <w:bCs/>
        </w:rPr>
        <w:t> </w:t>
      </w:r>
      <w:r w:rsidRPr="00FD4FB6">
        <w:rPr>
          <w:rFonts w:cs="Arial"/>
          <w:b/>
          <w:bCs/>
        </w:rPr>
        <w:t>%</w:t>
      </w:r>
      <w:r w:rsidRPr="00FD4FB6">
        <w:rPr>
          <w:rFonts w:cs="Arial"/>
          <w:bCs/>
        </w:rPr>
        <w:t xml:space="preserve"> (při růstu hrubého domácího produktu ve stálých cenách o 4,3 %)</w:t>
      </w:r>
      <w:r w:rsidRPr="00FD4FB6">
        <w:rPr>
          <w:rFonts w:cs="Arial"/>
        </w:rPr>
        <w:t>.</w:t>
      </w:r>
      <w:r w:rsidR="00D04975">
        <w:rPr>
          <w:rFonts w:cs="Arial"/>
        </w:rPr>
        <w:t xml:space="preserve"> Strukturu běžných příjmů ukazuje následující graf:</w:t>
      </w:r>
    </w:p>
    <w:p w:rsidR="00007AD4" w:rsidRDefault="00007AD4" w:rsidP="00D04975">
      <w:pPr>
        <w:spacing w:after="240" w:line="360" w:lineRule="auto"/>
        <w:jc w:val="both"/>
        <w:rPr>
          <w:rFonts w:cs="Arial"/>
        </w:rPr>
      </w:pPr>
    </w:p>
    <w:p w:rsidR="00007AD4" w:rsidRDefault="00007AD4" w:rsidP="00007AD4">
      <w:pPr>
        <w:spacing w:after="240" w:line="360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682691" cy="36861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82" cy="368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975" w:rsidRDefault="00D04975" w:rsidP="00783CED">
      <w:pPr>
        <w:spacing w:before="240"/>
        <w:jc w:val="both"/>
        <w:rPr>
          <w:rFonts w:cs="Arial"/>
          <w:sz w:val="20"/>
        </w:rPr>
      </w:pPr>
      <w:r w:rsidRPr="00D04975">
        <w:rPr>
          <w:rFonts w:cs="Arial"/>
          <w:sz w:val="20"/>
        </w:rPr>
        <w:t>Zpracováno z dat ČSÚ</w:t>
      </w:r>
    </w:p>
    <w:p w:rsidR="00D04975" w:rsidRPr="00D04975" w:rsidRDefault="00D04975" w:rsidP="00783CED">
      <w:pPr>
        <w:jc w:val="both"/>
        <w:rPr>
          <w:rFonts w:cs="Arial"/>
          <w:sz w:val="20"/>
        </w:rPr>
      </w:pPr>
    </w:p>
    <w:p w:rsidR="002A18EE" w:rsidRPr="002A18EE" w:rsidRDefault="002A18EE" w:rsidP="002A18EE">
      <w:pPr>
        <w:ind w:left="708"/>
        <w:jc w:val="both"/>
        <w:rPr>
          <w:rFonts w:cs="Arial"/>
        </w:rPr>
      </w:pPr>
      <w:r w:rsidRPr="002A18EE">
        <w:rPr>
          <w:rFonts w:cs="Arial"/>
          <w:b/>
          <w:bCs/>
        </w:rPr>
        <w:lastRenderedPageBreak/>
        <w:t>Na</w:t>
      </w:r>
      <w:r w:rsidRPr="002A18EE">
        <w:rPr>
          <w:rFonts w:cs="Arial"/>
        </w:rPr>
        <w:t xml:space="preserve"> </w:t>
      </w:r>
      <w:r w:rsidRPr="002A18EE">
        <w:rPr>
          <w:rFonts w:cs="Arial"/>
          <w:b/>
          <w:bCs/>
        </w:rPr>
        <w:t>reálném růstu</w:t>
      </w:r>
      <w:r w:rsidRPr="002A18EE">
        <w:rPr>
          <w:rFonts w:cs="Arial"/>
        </w:rPr>
        <w:t xml:space="preserve"> úhrnného objemu</w:t>
      </w:r>
      <w:r w:rsidRPr="002A18EE">
        <w:rPr>
          <w:rFonts w:cs="Arial"/>
          <w:b/>
          <w:bCs/>
        </w:rPr>
        <w:t xml:space="preserve"> běžných příjmů </w:t>
      </w:r>
      <w:r w:rsidRPr="002A18EE">
        <w:rPr>
          <w:rFonts w:cs="Arial"/>
          <w:b/>
        </w:rPr>
        <w:t>se</w:t>
      </w:r>
      <w:r w:rsidRPr="002A18EE">
        <w:rPr>
          <w:rFonts w:cs="Arial"/>
        </w:rPr>
        <w:t xml:space="preserve"> přibližně 75 % </w:t>
      </w:r>
      <w:r w:rsidRPr="002A18EE">
        <w:rPr>
          <w:rFonts w:cs="Arial"/>
          <w:b/>
          <w:bCs/>
        </w:rPr>
        <w:t xml:space="preserve">podílely náhrady zaměstnancům </w:t>
      </w:r>
      <w:r w:rsidRPr="002A18EE">
        <w:rPr>
          <w:rFonts w:cs="Arial"/>
          <w:bCs/>
        </w:rPr>
        <w:t xml:space="preserve">(růst o 4,2 %) a přibližně jednou pětinou </w:t>
      </w:r>
      <w:r w:rsidRPr="002A18EE">
        <w:rPr>
          <w:rFonts w:cs="Arial"/>
          <w:b/>
        </w:rPr>
        <w:t xml:space="preserve">ostatní běžné transfery </w:t>
      </w:r>
      <w:r w:rsidRPr="002A18EE">
        <w:rPr>
          <w:rFonts w:cs="Arial"/>
        </w:rPr>
        <w:t xml:space="preserve">– jedná se o náhrady z neživotního pojištění, výhry ze sázek a loterií apod. (+12,9 %). </w:t>
      </w:r>
      <w:r w:rsidRPr="002A18EE">
        <w:rPr>
          <w:rFonts w:cs="Arial"/>
          <w:bCs/>
        </w:rPr>
        <w:t>V menší míře pak</w:t>
      </w:r>
      <w:r w:rsidRPr="002A18EE">
        <w:rPr>
          <w:rFonts w:cs="Arial"/>
        </w:rPr>
        <w:t xml:space="preserve"> na něm participovaly</w:t>
      </w:r>
      <w:r w:rsidRPr="002A18EE">
        <w:rPr>
          <w:rFonts w:cs="Arial"/>
          <w:b/>
        </w:rPr>
        <w:t xml:space="preserve"> sociální dávky </w:t>
      </w:r>
      <w:r w:rsidRPr="002A18EE">
        <w:rPr>
          <w:rFonts w:cs="Arial"/>
        </w:rPr>
        <w:t xml:space="preserve">(+0,7 %). Naopak </w:t>
      </w:r>
      <w:r w:rsidRPr="002A18EE">
        <w:rPr>
          <w:rFonts w:cs="Arial"/>
          <w:b/>
        </w:rPr>
        <w:t>poklesla kupní síla</w:t>
      </w:r>
      <w:r w:rsidRPr="002A18EE">
        <w:rPr>
          <w:rFonts w:cs="Arial"/>
        </w:rPr>
        <w:t xml:space="preserve"> (objemu) </w:t>
      </w:r>
      <w:r w:rsidRPr="002A18EE">
        <w:rPr>
          <w:rFonts w:cs="Arial"/>
          <w:b/>
        </w:rPr>
        <w:t>důchodů z vlastnictví</w:t>
      </w:r>
      <w:r w:rsidRPr="002A18EE">
        <w:rPr>
          <w:rFonts w:cs="Arial"/>
        </w:rPr>
        <w:t xml:space="preserve"> (-5,1</w:t>
      </w:r>
      <w:r w:rsidR="00E879FF">
        <w:rPr>
          <w:rFonts w:cs="Arial"/>
        </w:rPr>
        <w:t> </w:t>
      </w:r>
      <w:r w:rsidRPr="002A18EE">
        <w:rPr>
          <w:rFonts w:cs="Arial"/>
        </w:rPr>
        <w:t xml:space="preserve">%) a </w:t>
      </w:r>
      <w:r w:rsidRPr="002A18EE">
        <w:rPr>
          <w:rFonts w:cs="Arial"/>
          <w:b/>
          <w:bCs/>
        </w:rPr>
        <w:t>smíšeného důchodu</w:t>
      </w:r>
      <w:r w:rsidRPr="002A18EE">
        <w:rPr>
          <w:rFonts w:cs="Arial"/>
        </w:rPr>
        <w:t xml:space="preserve"> (zahrnující zejména příjmy z podnikatelských aktivit) – reálný pokles o 0,5 %.</w:t>
      </w:r>
    </w:p>
    <w:p w:rsidR="006E0781" w:rsidRDefault="006E0781" w:rsidP="002A18EE">
      <w:pPr>
        <w:spacing w:line="360" w:lineRule="auto"/>
        <w:jc w:val="both"/>
        <w:rPr>
          <w:rFonts w:cs="Arial"/>
        </w:rPr>
      </w:pPr>
    </w:p>
    <w:p w:rsidR="006E0781" w:rsidRDefault="006E0781" w:rsidP="002A18EE">
      <w:pPr>
        <w:spacing w:line="360" w:lineRule="auto"/>
        <w:jc w:val="both"/>
        <w:rPr>
          <w:rFonts w:cs="Arial"/>
        </w:rPr>
      </w:pPr>
    </w:p>
    <w:p w:rsidR="002A18EE" w:rsidRPr="002A18EE" w:rsidRDefault="002A18EE" w:rsidP="002A18EE">
      <w:pPr>
        <w:spacing w:line="360" w:lineRule="auto"/>
        <w:jc w:val="both"/>
        <w:rPr>
          <w:rFonts w:cs="Arial"/>
        </w:rPr>
      </w:pPr>
      <w:r w:rsidRPr="002A18EE">
        <w:rPr>
          <w:rFonts w:cs="Arial"/>
        </w:rPr>
        <w:tab/>
        <w:t xml:space="preserve">Po odpočtu běžných výdajů (především daní z příjmů a příspěvků na sociální </w:t>
      </w:r>
      <w:r w:rsidRPr="007867DD">
        <w:rPr>
          <w:rFonts w:cs="Arial"/>
        </w:rPr>
        <w:t xml:space="preserve">a zdravotní pojištění) zůstal sektoru domácností </w:t>
      </w:r>
      <w:r w:rsidRPr="007867DD">
        <w:rPr>
          <w:rFonts w:cs="Arial"/>
          <w:b/>
          <w:bCs/>
        </w:rPr>
        <w:t xml:space="preserve">úhrnný disponibilní důchod </w:t>
      </w:r>
      <w:r w:rsidRPr="007867DD">
        <w:rPr>
          <w:rFonts w:cs="Arial"/>
        </w:rPr>
        <w:t xml:space="preserve">v částce </w:t>
      </w:r>
      <w:r w:rsidRPr="007867DD">
        <w:rPr>
          <w:rFonts w:cs="Arial"/>
          <w:b/>
          <w:bCs/>
        </w:rPr>
        <w:t>1</w:t>
      </w:r>
      <w:r w:rsidR="00E879FF">
        <w:rPr>
          <w:rFonts w:cs="Arial"/>
          <w:b/>
          <w:bCs/>
        </w:rPr>
        <w:t> </w:t>
      </w:r>
      <w:r w:rsidRPr="007867DD">
        <w:rPr>
          <w:rFonts w:cs="Arial"/>
          <w:b/>
          <w:bCs/>
        </w:rPr>
        <w:t>112,1 mld. Kč,</w:t>
      </w:r>
      <w:r w:rsidRPr="007867DD">
        <w:rPr>
          <w:rFonts w:cs="Arial"/>
        </w:rPr>
        <w:t xml:space="preserve"> což bylo </w:t>
      </w:r>
      <w:r w:rsidRPr="007867DD">
        <w:rPr>
          <w:rFonts w:cs="Arial"/>
          <w:b/>
          <w:bCs/>
        </w:rPr>
        <w:t xml:space="preserve">reálně o 2,5 % více </w:t>
      </w:r>
      <w:r w:rsidRPr="007867DD">
        <w:rPr>
          <w:rFonts w:cs="Arial"/>
        </w:rPr>
        <w:t>než ve srovnatelném loňském období (kdy se kupní síla jeho objemu meziročně zvýšila o 1,7 %).</w:t>
      </w:r>
    </w:p>
    <w:p w:rsidR="002A18EE" w:rsidRPr="002A18EE" w:rsidRDefault="002A18EE" w:rsidP="002A18EE">
      <w:pPr>
        <w:spacing w:line="360" w:lineRule="auto"/>
        <w:jc w:val="both"/>
        <w:rPr>
          <w:rFonts w:cs="Arial"/>
        </w:rPr>
      </w:pPr>
    </w:p>
    <w:p w:rsidR="002A18EE" w:rsidRPr="007867DD" w:rsidRDefault="002A18EE" w:rsidP="002A18EE">
      <w:pPr>
        <w:spacing w:line="360" w:lineRule="auto"/>
        <w:jc w:val="both"/>
        <w:rPr>
          <w:rFonts w:cs="Arial"/>
        </w:rPr>
      </w:pPr>
      <w:r w:rsidRPr="00470505">
        <w:rPr>
          <w:rFonts w:cs="Arial"/>
          <w:color w:val="FF0000"/>
        </w:rPr>
        <w:tab/>
      </w:r>
      <w:r w:rsidRPr="007867DD">
        <w:rPr>
          <w:rFonts w:cs="Arial"/>
          <w:b/>
        </w:rPr>
        <w:t>Relace disponibilního důchodu k objemu hrubého domácího produktu</w:t>
      </w:r>
      <w:r w:rsidRPr="007867DD">
        <w:rPr>
          <w:rFonts w:cs="Arial"/>
        </w:rPr>
        <w:t xml:space="preserve"> (v běžných cenách) meziročně </w:t>
      </w:r>
      <w:r w:rsidRPr="007867DD">
        <w:rPr>
          <w:rFonts w:cs="Arial"/>
          <w:b/>
        </w:rPr>
        <w:t>poklesla</w:t>
      </w:r>
      <w:r w:rsidRPr="007867DD">
        <w:rPr>
          <w:rFonts w:cs="Arial"/>
        </w:rPr>
        <w:t xml:space="preserve"> o 1,3 p. b. na </w:t>
      </w:r>
      <w:r w:rsidRPr="007867DD">
        <w:rPr>
          <w:rFonts w:cs="Arial"/>
          <w:b/>
        </w:rPr>
        <w:t>49,9 %.</w:t>
      </w:r>
    </w:p>
    <w:p w:rsidR="002A18EE" w:rsidRPr="009C244C" w:rsidRDefault="002A18EE" w:rsidP="002A18EE">
      <w:pPr>
        <w:spacing w:line="360" w:lineRule="auto"/>
        <w:jc w:val="both"/>
        <w:rPr>
          <w:rFonts w:cs="Arial"/>
          <w:b/>
          <w:bCs/>
        </w:rPr>
      </w:pPr>
    </w:p>
    <w:p w:rsidR="002A18EE" w:rsidRPr="009C244C" w:rsidRDefault="002A18EE" w:rsidP="002A18EE">
      <w:pPr>
        <w:spacing w:line="360" w:lineRule="auto"/>
        <w:jc w:val="both"/>
        <w:rPr>
          <w:rFonts w:cs="Arial"/>
        </w:rPr>
      </w:pPr>
      <w:r w:rsidRPr="009C244C">
        <w:rPr>
          <w:rFonts w:cs="Arial"/>
        </w:rPr>
        <w:tab/>
        <w:t>Podrobnější číselné údaje o vývoji ukazatelů v sektoru domácností jsou součástí tabulky č. 1 v příloze.</w:t>
      </w:r>
    </w:p>
    <w:p w:rsidR="002A18EE" w:rsidRDefault="002A18EE" w:rsidP="002A18EE">
      <w:pPr>
        <w:spacing w:line="360" w:lineRule="auto"/>
        <w:rPr>
          <w:rFonts w:cs="Arial"/>
        </w:rPr>
      </w:pPr>
    </w:p>
    <w:p w:rsidR="006E0781" w:rsidRPr="009C244C" w:rsidRDefault="006E0781" w:rsidP="002A18EE">
      <w:pPr>
        <w:spacing w:line="360" w:lineRule="auto"/>
        <w:rPr>
          <w:rFonts w:cs="Arial"/>
        </w:rPr>
      </w:pPr>
    </w:p>
    <w:p w:rsidR="002A18EE" w:rsidRPr="009C244C" w:rsidRDefault="002A18EE" w:rsidP="002A18EE">
      <w:pPr>
        <w:spacing w:after="120" w:line="360" w:lineRule="auto"/>
        <w:jc w:val="both"/>
        <w:rPr>
          <w:rFonts w:cs="Arial"/>
          <w:bCs/>
        </w:rPr>
      </w:pPr>
      <w:r w:rsidRPr="009C244C">
        <w:tab/>
      </w:r>
      <w:r w:rsidRPr="00741334">
        <w:rPr>
          <w:b/>
        </w:rPr>
        <w:t>Ve v</w:t>
      </w:r>
      <w:r w:rsidRPr="00741334">
        <w:rPr>
          <w:rFonts w:cs="Arial"/>
          <w:b/>
        </w:rPr>
        <w:t>ývoji</w:t>
      </w:r>
      <w:r w:rsidRPr="009C244C">
        <w:rPr>
          <w:rFonts w:cs="Arial"/>
          <w:b/>
        </w:rPr>
        <w:t xml:space="preserve"> peněžních příjmů domácností</w:t>
      </w:r>
      <w:r w:rsidRPr="009C244C">
        <w:rPr>
          <w:rFonts w:cs="Arial"/>
        </w:rPr>
        <w:t xml:space="preserve"> </w:t>
      </w:r>
      <w:r w:rsidRPr="009C244C">
        <w:rPr>
          <w:rFonts w:cs="Arial"/>
          <w:bCs/>
        </w:rPr>
        <w:t>na mikroúrovni</w:t>
      </w:r>
      <w:r w:rsidRPr="009C244C">
        <w:rPr>
          <w:rFonts w:cs="Arial"/>
          <w:b/>
          <w:bCs/>
        </w:rPr>
        <w:t xml:space="preserve"> </w:t>
      </w:r>
      <w:r w:rsidRPr="009C244C">
        <w:rPr>
          <w:rFonts w:cs="Arial"/>
        </w:rPr>
        <w:t xml:space="preserve">(zpravodajského souboru statistiky rodinných účtů) </w:t>
      </w:r>
      <w:r>
        <w:rPr>
          <w:rFonts w:cs="Arial"/>
        </w:rPr>
        <w:t xml:space="preserve">pokračoval </w:t>
      </w:r>
      <w:r>
        <w:rPr>
          <w:rFonts w:cs="Arial"/>
          <w:b/>
          <w:bCs/>
        </w:rPr>
        <w:t xml:space="preserve">jejich </w:t>
      </w:r>
      <w:r w:rsidRPr="00470505">
        <w:rPr>
          <w:rFonts w:cs="Arial"/>
          <w:bCs/>
        </w:rPr>
        <w:t>meziroční</w:t>
      </w:r>
      <w:r>
        <w:rPr>
          <w:rFonts w:cs="Arial"/>
          <w:bCs/>
        </w:rPr>
        <w:t>ho</w:t>
      </w:r>
      <w:r>
        <w:rPr>
          <w:rFonts w:cs="Arial"/>
          <w:b/>
          <w:bCs/>
        </w:rPr>
        <w:t xml:space="preserve"> růst, </w:t>
      </w:r>
      <w:r w:rsidRPr="00F22F7C">
        <w:rPr>
          <w:rFonts w:cs="Arial"/>
          <w:bCs/>
        </w:rPr>
        <w:t xml:space="preserve">a to i po jejich redukci o vliv mimořádného přírůstku prodejů nemovitostí </w:t>
      </w:r>
      <w:r w:rsidR="00E879FF">
        <w:rPr>
          <w:rFonts w:cs="Arial"/>
          <w:bCs/>
        </w:rPr>
        <w:t>–</w:t>
      </w:r>
      <w:r>
        <w:rPr>
          <w:rFonts w:cs="Arial"/>
          <w:bCs/>
        </w:rPr>
        <w:t xml:space="preserve"> </w:t>
      </w:r>
      <w:r>
        <w:rPr>
          <w:rFonts w:cs="Arial"/>
          <w:b/>
          <w:bCs/>
        </w:rPr>
        <w:t xml:space="preserve">vzhledem k vyšší výchozí základně </w:t>
      </w:r>
      <w:r>
        <w:rPr>
          <w:rFonts w:cs="Arial"/>
          <w:bCs/>
        </w:rPr>
        <w:t xml:space="preserve">byl ale růst menší než </w:t>
      </w:r>
      <w:r w:rsidRPr="00741334">
        <w:rPr>
          <w:rFonts w:cs="Arial"/>
          <w:bCs/>
        </w:rPr>
        <w:t>v 1. čtvrtletí</w:t>
      </w:r>
      <w:r>
        <w:rPr>
          <w:rFonts w:cs="Arial"/>
          <w:bCs/>
        </w:rPr>
        <w:t xml:space="preserve"> 2015</w:t>
      </w:r>
      <w:r w:rsidRPr="00741334">
        <w:rPr>
          <w:rFonts w:cs="Arial"/>
          <w:bCs/>
        </w:rPr>
        <w:t>:</w:t>
      </w:r>
    </w:p>
    <w:p w:rsidR="002A18EE" w:rsidRPr="006E0781" w:rsidRDefault="002A18EE" w:rsidP="006E0781">
      <w:pPr>
        <w:numPr>
          <w:ilvl w:val="0"/>
          <w:numId w:val="4"/>
        </w:numPr>
        <w:spacing w:line="360" w:lineRule="auto"/>
        <w:jc w:val="both"/>
      </w:pPr>
      <w:r w:rsidRPr="009C244C">
        <w:rPr>
          <w:b/>
          <w:bCs/>
        </w:rPr>
        <w:t xml:space="preserve">měsíční </w:t>
      </w:r>
      <w:r w:rsidRPr="009C244C">
        <w:t>nominální</w:t>
      </w:r>
      <w:r w:rsidRPr="009C244C">
        <w:rPr>
          <w:b/>
          <w:bCs/>
        </w:rPr>
        <w:t xml:space="preserve"> </w:t>
      </w:r>
      <w:r w:rsidRPr="009C244C">
        <w:t xml:space="preserve">čistý peněžní </w:t>
      </w:r>
      <w:r w:rsidRPr="009C244C">
        <w:rPr>
          <w:b/>
          <w:bCs/>
        </w:rPr>
        <w:t>příjem</w:t>
      </w:r>
      <w:r w:rsidRPr="009C244C">
        <w:t xml:space="preserve"> </w:t>
      </w:r>
      <w:r w:rsidRPr="009C244C">
        <w:rPr>
          <w:b/>
          <w:bCs/>
        </w:rPr>
        <w:t>na jednoho člena domácnosti</w:t>
      </w:r>
      <w:r w:rsidRPr="009C244C">
        <w:t xml:space="preserve"> zpravodajského souboru činil</w:t>
      </w:r>
      <w:r>
        <w:t xml:space="preserve"> v průměru</w:t>
      </w:r>
      <w:r w:rsidRPr="009C244C">
        <w:t xml:space="preserve"> </w:t>
      </w:r>
      <w:r w:rsidRPr="009C244C">
        <w:rPr>
          <w:b/>
          <w:bCs/>
        </w:rPr>
        <w:t>1</w:t>
      </w:r>
      <w:r>
        <w:rPr>
          <w:b/>
          <w:bCs/>
        </w:rPr>
        <w:t>2</w:t>
      </w:r>
      <w:r w:rsidRPr="009C244C">
        <w:rPr>
          <w:b/>
          <w:bCs/>
        </w:rPr>
        <w:t> </w:t>
      </w:r>
      <w:r>
        <w:rPr>
          <w:b/>
          <w:bCs/>
        </w:rPr>
        <w:t>791</w:t>
      </w:r>
      <w:r w:rsidRPr="009C244C">
        <w:rPr>
          <w:b/>
          <w:bCs/>
        </w:rPr>
        <w:t xml:space="preserve"> Kč </w:t>
      </w:r>
      <w:r w:rsidRPr="003334BB">
        <w:t>(</w:t>
      </w:r>
      <w:r>
        <w:rPr>
          <w:b/>
          <w:bCs/>
        </w:rPr>
        <w:t>o 261 Kč</w:t>
      </w:r>
      <w:r w:rsidRPr="009C244C">
        <w:rPr>
          <w:b/>
          <w:bCs/>
        </w:rPr>
        <w:t xml:space="preserve"> více </w:t>
      </w:r>
      <w:r w:rsidRPr="009C244C">
        <w:rPr>
          <w:szCs w:val="24"/>
        </w:rPr>
        <w:t xml:space="preserve">než před rokem); při zohlednění meziroční cenové inflace </w:t>
      </w:r>
      <w:r w:rsidRPr="009C244C">
        <w:rPr>
          <w:b/>
          <w:bCs/>
        </w:rPr>
        <w:t>kupní síla</w:t>
      </w:r>
      <w:r w:rsidRPr="009C244C">
        <w:t xml:space="preserve"> </w:t>
      </w:r>
      <w:r w:rsidRPr="009C244C">
        <w:rPr>
          <w:bCs/>
        </w:rPr>
        <w:t>tohoto příjmu</w:t>
      </w:r>
      <w:r w:rsidRPr="009C244C">
        <w:t xml:space="preserve"> vzrostla </w:t>
      </w:r>
      <w:r w:rsidRPr="009C244C">
        <w:rPr>
          <w:b/>
          <w:bCs/>
        </w:rPr>
        <w:t>o</w:t>
      </w:r>
      <w:r w:rsidRPr="009C244C">
        <w:rPr>
          <w:b/>
        </w:rPr>
        <w:t xml:space="preserve"> </w:t>
      </w:r>
      <w:r>
        <w:rPr>
          <w:b/>
        </w:rPr>
        <w:t>1,7</w:t>
      </w:r>
      <w:r w:rsidRPr="009C244C">
        <w:rPr>
          <w:b/>
          <w:bCs/>
        </w:rPr>
        <w:t xml:space="preserve"> %</w:t>
      </w:r>
      <w:r>
        <w:rPr>
          <w:b/>
          <w:bCs/>
        </w:rPr>
        <w:t xml:space="preserve"> </w:t>
      </w:r>
      <w:r w:rsidRPr="00117BE7">
        <w:rPr>
          <w:bCs/>
        </w:rPr>
        <w:t xml:space="preserve">(v 1. čtvrtletí to bylo o </w:t>
      </w:r>
      <w:r>
        <w:rPr>
          <w:bCs/>
        </w:rPr>
        <w:t>2,1</w:t>
      </w:r>
      <w:r w:rsidRPr="00117BE7">
        <w:rPr>
          <w:bCs/>
        </w:rPr>
        <w:t xml:space="preserve"> %),</w:t>
      </w:r>
    </w:p>
    <w:p w:rsidR="006E0781" w:rsidRPr="00117BE7" w:rsidRDefault="006E0781" w:rsidP="006E0781">
      <w:pPr>
        <w:spacing w:line="360" w:lineRule="auto"/>
        <w:ind w:left="720"/>
        <w:jc w:val="both"/>
      </w:pPr>
    </w:p>
    <w:p w:rsidR="002A18EE" w:rsidRPr="00B5574B" w:rsidRDefault="002A18EE" w:rsidP="002A18EE">
      <w:pPr>
        <w:numPr>
          <w:ilvl w:val="0"/>
          <w:numId w:val="4"/>
        </w:numPr>
        <w:spacing w:after="120" w:line="360" w:lineRule="auto"/>
        <w:jc w:val="both"/>
      </w:pPr>
      <w:r w:rsidRPr="00530CB9">
        <w:t xml:space="preserve">z tabulky č. 2 je zřejmé, že nominální </w:t>
      </w:r>
      <w:r w:rsidRPr="00530CB9">
        <w:rPr>
          <w:b/>
          <w:bCs/>
        </w:rPr>
        <w:t xml:space="preserve">přírůstek </w:t>
      </w:r>
      <w:r w:rsidRPr="00530CB9">
        <w:t xml:space="preserve">čistých peněžních </w:t>
      </w:r>
      <w:r w:rsidRPr="00530CB9">
        <w:rPr>
          <w:b/>
          <w:bCs/>
        </w:rPr>
        <w:t xml:space="preserve">příjmů </w:t>
      </w:r>
      <w:r w:rsidRPr="00530CB9">
        <w:rPr>
          <w:bCs/>
        </w:rPr>
        <w:t>na</w:t>
      </w:r>
      <w:r w:rsidR="00E879FF">
        <w:rPr>
          <w:bCs/>
        </w:rPr>
        <w:t> </w:t>
      </w:r>
      <w:r w:rsidRPr="00530CB9">
        <w:rPr>
          <w:bCs/>
        </w:rPr>
        <w:t>osobu</w:t>
      </w:r>
      <w:r w:rsidRPr="00530CB9">
        <w:rPr>
          <w:b/>
          <w:bCs/>
        </w:rPr>
        <w:t xml:space="preserve"> zaznamenala </w:t>
      </w:r>
      <w:r w:rsidRPr="00530CB9">
        <w:rPr>
          <w:bCs/>
        </w:rPr>
        <w:t xml:space="preserve">většina typů </w:t>
      </w:r>
      <w:r w:rsidRPr="00530CB9">
        <w:rPr>
          <w:b/>
          <w:bCs/>
        </w:rPr>
        <w:t xml:space="preserve">zaměstnaneckých domácností </w:t>
      </w:r>
      <w:r w:rsidRPr="00B5574B">
        <w:rPr>
          <w:bCs/>
        </w:rPr>
        <w:t>(nejvíce zaměstnanci bez dětí – nominálně +6,</w:t>
      </w:r>
      <w:r>
        <w:rPr>
          <w:bCs/>
        </w:rPr>
        <w:t>5</w:t>
      </w:r>
      <w:r w:rsidRPr="00B5574B">
        <w:rPr>
          <w:bCs/>
        </w:rPr>
        <w:t xml:space="preserve"> %) </w:t>
      </w:r>
      <w:r w:rsidRPr="00530CB9">
        <w:rPr>
          <w:b/>
          <w:bCs/>
        </w:rPr>
        <w:t>a domácnosti důchodců</w:t>
      </w:r>
      <w:r w:rsidRPr="00530CB9">
        <w:rPr>
          <w:bCs/>
        </w:rPr>
        <w:t xml:space="preserve"> bez ekonomicky aktivních členů</w:t>
      </w:r>
      <w:r>
        <w:rPr>
          <w:bCs/>
        </w:rPr>
        <w:t xml:space="preserve"> (+1,5 %)</w:t>
      </w:r>
      <w:r w:rsidR="00E879FF">
        <w:rPr>
          <w:bCs/>
        </w:rPr>
        <w:t>,</w:t>
      </w:r>
      <w:r w:rsidRPr="00530CB9">
        <w:rPr>
          <w:b/>
          <w:bCs/>
        </w:rPr>
        <w:t xml:space="preserve"> </w:t>
      </w:r>
      <w:r w:rsidRPr="00530CB9">
        <w:rPr>
          <w:bCs/>
        </w:rPr>
        <w:t>zatímco</w:t>
      </w:r>
      <w:r w:rsidRPr="00530CB9">
        <w:rPr>
          <w:b/>
          <w:bCs/>
        </w:rPr>
        <w:t xml:space="preserve"> domácnosti osob samostatně výdělečně činných vykázaly </w:t>
      </w:r>
      <w:r w:rsidRPr="00530CB9">
        <w:rPr>
          <w:bCs/>
        </w:rPr>
        <w:t>(vzhledem</w:t>
      </w:r>
      <w:r>
        <w:rPr>
          <w:bCs/>
        </w:rPr>
        <w:t xml:space="preserve"> </w:t>
      </w:r>
      <w:r w:rsidRPr="00530CB9">
        <w:rPr>
          <w:bCs/>
        </w:rPr>
        <w:t xml:space="preserve">k vyšší základně příjmů z podnikání </w:t>
      </w:r>
      <w:r>
        <w:rPr>
          <w:bCs/>
        </w:rPr>
        <w:t xml:space="preserve">v roce </w:t>
      </w:r>
      <w:r w:rsidRPr="00530CB9">
        <w:rPr>
          <w:bCs/>
        </w:rPr>
        <w:t xml:space="preserve">2014) jejich </w:t>
      </w:r>
      <w:r w:rsidRPr="00530CB9">
        <w:rPr>
          <w:b/>
          <w:bCs/>
        </w:rPr>
        <w:t>pokles</w:t>
      </w:r>
      <w:r>
        <w:rPr>
          <w:b/>
          <w:bCs/>
        </w:rPr>
        <w:t xml:space="preserve"> </w:t>
      </w:r>
      <w:r w:rsidRPr="00B5574B">
        <w:rPr>
          <w:bCs/>
        </w:rPr>
        <w:t>(-3,</w:t>
      </w:r>
      <w:r>
        <w:rPr>
          <w:bCs/>
        </w:rPr>
        <w:t>6</w:t>
      </w:r>
      <w:r w:rsidRPr="00B5574B">
        <w:rPr>
          <w:bCs/>
        </w:rPr>
        <w:t xml:space="preserve"> %),</w:t>
      </w:r>
    </w:p>
    <w:p w:rsidR="002A18EE" w:rsidRPr="007C54FB" w:rsidRDefault="002A18EE" w:rsidP="002A18EE">
      <w:pPr>
        <w:numPr>
          <w:ilvl w:val="0"/>
          <w:numId w:val="4"/>
        </w:numPr>
        <w:spacing w:after="120" w:line="360" w:lineRule="auto"/>
        <w:jc w:val="both"/>
      </w:pPr>
      <w:r w:rsidRPr="007C54FB">
        <w:rPr>
          <w:b/>
          <w:bCs/>
        </w:rPr>
        <w:lastRenderedPageBreak/>
        <w:t xml:space="preserve">průměrná domácnost </w:t>
      </w:r>
      <w:r w:rsidRPr="007C54FB">
        <w:rPr>
          <w:bCs/>
        </w:rPr>
        <w:t>zpravodajského</w:t>
      </w:r>
      <w:r w:rsidRPr="007C54FB">
        <w:t xml:space="preserve"> souboru statistiky rodinných účtů</w:t>
      </w:r>
      <w:r w:rsidRPr="007C54FB">
        <w:rPr>
          <w:b/>
          <w:bCs/>
        </w:rPr>
        <w:t xml:space="preserve"> měla k využití čistý </w:t>
      </w:r>
      <w:r w:rsidRPr="007C54FB">
        <w:t xml:space="preserve">nominální </w:t>
      </w:r>
      <w:r w:rsidRPr="007C54FB">
        <w:rPr>
          <w:b/>
          <w:bCs/>
        </w:rPr>
        <w:t>příjem 28 360 Kč měsíčně</w:t>
      </w:r>
      <w:r w:rsidRPr="007C54FB">
        <w:t xml:space="preserve"> – což bylo reálně </w:t>
      </w:r>
      <w:r w:rsidRPr="007C54FB">
        <w:rPr>
          <w:b/>
        </w:rPr>
        <w:t>o 1,3 % více než před rokem</w:t>
      </w:r>
      <w:r w:rsidR="00E879FF">
        <w:rPr>
          <w:b/>
        </w:rPr>
        <w:t>.</w:t>
      </w:r>
    </w:p>
    <w:p w:rsidR="00E879FF" w:rsidRDefault="00E879FF" w:rsidP="002A18EE">
      <w:pPr>
        <w:pStyle w:val="Zkladntext"/>
        <w:rPr>
          <w:rFonts w:cs="Arial"/>
        </w:rPr>
      </w:pPr>
    </w:p>
    <w:p w:rsidR="002A18EE" w:rsidRDefault="002A18EE" w:rsidP="002A18EE">
      <w:pPr>
        <w:pStyle w:val="Zkladntext"/>
      </w:pPr>
      <w:r w:rsidRPr="00117BE7">
        <w:rPr>
          <w:rFonts w:cs="Arial"/>
          <w:color w:val="FF0000"/>
        </w:rPr>
        <w:tab/>
      </w:r>
      <w:r w:rsidRPr="007C54FB">
        <w:t>V dalších částech zprávy jsou popsány nejdůležitější poznatky z analýzy vývoje dvou nejvýznamnějších kategorií příjmů domácností, tj. mezd a příjmů sociálního charakteru.</w:t>
      </w:r>
    </w:p>
    <w:p w:rsidR="006E0781" w:rsidRDefault="006E0781" w:rsidP="002A18EE">
      <w:pPr>
        <w:pStyle w:val="Zkladntext"/>
      </w:pPr>
    </w:p>
    <w:p w:rsidR="006E0781" w:rsidRDefault="006E0781" w:rsidP="002A18EE">
      <w:pPr>
        <w:pStyle w:val="Zkladntext"/>
      </w:pPr>
    </w:p>
    <w:p w:rsidR="006E0781" w:rsidRDefault="006E0781" w:rsidP="002A18EE">
      <w:pPr>
        <w:pStyle w:val="Zkladntext"/>
      </w:pPr>
    </w:p>
    <w:p w:rsidR="006E0781" w:rsidRDefault="006E0781" w:rsidP="002A18EE">
      <w:pPr>
        <w:pStyle w:val="Zkladntext"/>
      </w:pPr>
    </w:p>
    <w:p w:rsidR="00D70D25" w:rsidRPr="006366F1" w:rsidRDefault="006366F1" w:rsidP="008D3D86">
      <w:pPr>
        <w:pStyle w:val="Odstavecseseznamem"/>
        <w:keepNext/>
        <w:numPr>
          <w:ilvl w:val="0"/>
          <w:numId w:val="9"/>
        </w:numPr>
        <w:spacing w:after="200" w:line="360" w:lineRule="auto"/>
        <w:jc w:val="both"/>
        <w:outlineLvl w:val="2"/>
        <w:rPr>
          <w:rFonts w:cs="Arial"/>
          <w:b/>
          <w:bCs/>
          <w:i/>
          <w:iCs/>
          <w:sz w:val="32"/>
        </w:rPr>
      </w:pPr>
      <w:r w:rsidRPr="006366F1">
        <w:rPr>
          <w:rFonts w:cs="Arial"/>
          <w:b/>
          <w:bCs/>
          <w:i/>
          <w:iCs/>
          <w:sz w:val="32"/>
        </w:rPr>
        <w:t xml:space="preserve">2 </w:t>
      </w:r>
      <w:r w:rsidR="00D70D25" w:rsidRPr="006366F1">
        <w:rPr>
          <w:rFonts w:cs="Arial"/>
          <w:b/>
          <w:bCs/>
          <w:i/>
          <w:iCs/>
          <w:sz w:val="32"/>
        </w:rPr>
        <w:t>Mzdy</w:t>
      </w:r>
    </w:p>
    <w:p w:rsidR="006E0781" w:rsidRDefault="006E0781" w:rsidP="006E0781">
      <w:pPr>
        <w:spacing w:line="360" w:lineRule="auto"/>
        <w:jc w:val="both"/>
      </w:pPr>
    </w:p>
    <w:p w:rsidR="00494E2E" w:rsidRDefault="006E0781" w:rsidP="006E0781">
      <w:pPr>
        <w:spacing w:line="360" w:lineRule="auto"/>
        <w:jc w:val="both"/>
        <w:rPr>
          <w:rFonts w:cs="Arial"/>
        </w:rPr>
      </w:pPr>
      <w:r w:rsidRPr="00117BE7">
        <w:rPr>
          <w:rFonts w:cs="Arial"/>
          <w:color w:val="FF0000"/>
        </w:rPr>
        <w:tab/>
      </w:r>
      <w:r w:rsidR="00494E2E" w:rsidRPr="00E77CE0">
        <w:rPr>
          <w:rFonts w:cs="Arial"/>
          <w:b/>
        </w:rPr>
        <w:t>Rozhodující část</w:t>
      </w:r>
      <w:r w:rsidR="00494E2E" w:rsidRPr="00E77CE0">
        <w:rPr>
          <w:rFonts w:cs="Arial"/>
        </w:rPr>
        <w:t xml:space="preserve"> </w:t>
      </w:r>
      <w:r w:rsidR="00494E2E" w:rsidRPr="00E77CE0">
        <w:rPr>
          <w:rFonts w:cs="Arial"/>
          <w:bCs/>
        </w:rPr>
        <w:t>peněžních</w:t>
      </w:r>
      <w:r w:rsidR="00494E2E" w:rsidRPr="00E77CE0">
        <w:rPr>
          <w:rFonts w:cs="Arial"/>
        </w:rPr>
        <w:t xml:space="preserve"> </w:t>
      </w:r>
      <w:r w:rsidR="00494E2E" w:rsidRPr="00E77CE0">
        <w:rPr>
          <w:rFonts w:cs="Arial"/>
          <w:b/>
          <w:bCs/>
        </w:rPr>
        <w:t xml:space="preserve">příjmů domácností </w:t>
      </w:r>
      <w:r w:rsidR="00494E2E" w:rsidRPr="00E77CE0">
        <w:rPr>
          <w:rFonts w:cs="Arial"/>
          <w:bCs/>
        </w:rPr>
        <w:t>tvořily</w:t>
      </w:r>
      <w:r w:rsidR="00494E2E" w:rsidRPr="00E77CE0">
        <w:rPr>
          <w:rFonts w:cs="Arial"/>
          <w:b/>
        </w:rPr>
        <w:t xml:space="preserve"> </w:t>
      </w:r>
      <w:r w:rsidR="00494E2E" w:rsidRPr="00E77CE0">
        <w:rPr>
          <w:rFonts w:cs="Arial"/>
          <w:b/>
          <w:bCs/>
        </w:rPr>
        <w:t>mzdy.</w:t>
      </w:r>
      <w:r w:rsidR="00494E2E" w:rsidRPr="00E77CE0">
        <w:rPr>
          <w:rFonts w:cs="Arial"/>
          <w:bCs/>
        </w:rPr>
        <w:t xml:space="preserve"> Celkový </w:t>
      </w:r>
      <w:r w:rsidR="00494E2E" w:rsidRPr="00E77CE0">
        <w:rPr>
          <w:rFonts w:cs="Arial"/>
          <w:b/>
          <w:bCs/>
        </w:rPr>
        <w:t xml:space="preserve">objem mzdových prostředků </w:t>
      </w:r>
      <w:r w:rsidR="00494E2E" w:rsidRPr="00E77CE0">
        <w:rPr>
          <w:rFonts w:cs="Arial"/>
        </w:rPr>
        <w:t>(bez</w:t>
      </w:r>
      <w:r>
        <w:rPr>
          <w:rFonts w:cs="Arial"/>
        </w:rPr>
        <w:t xml:space="preserve"> </w:t>
      </w:r>
      <w:r w:rsidR="00494E2E" w:rsidRPr="00E77CE0">
        <w:rPr>
          <w:rFonts w:cs="Arial"/>
        </w:rPr>
        <w:t>ostatních osobních nákladů) zúčtovaný všem zaměstnancům k výplatě</w:t>
      </w:r>
      <w:r w:rsidR="00494E2E" w:rsidRPr="00E77CE0">
        <w:t xml:space="preserve"> za celé národní hospodářství </w:t>
      </w:r>
      <w:r w:rsidR="00494E2E" w:rsidRPr="00E77CE0">
        <w:rPr>
          <w:rFonts w:cs="Arial"/>
        </w:rPr>
        <w:t xml:space="preserve">dosáhl za 1. polovinu letošního roku </w:t>
      </w:r>
      <w:r w:rsidR="00494E2E" w:rsidRPr="00E77CE0">
        <w:rPr>
          <w:rFonts w:cs="Arial"/>
          <w:b/>
          <w:bCs/>
        </w:rPr>
        <w:t>5</w:t>
      </w:r>
      <w:r w:rsidR="00494E2E">
        <w:rPr>
          <w:rFonts w:cs="Arial"/>
          <w:b/>
          <w:bCs/>
        </w:rPr>
        <w:t>91</w:t>
      </w:r>
      <w:r w:rsidR="00494E2E" w:rsidRPr="00E77CE0">
        <w:rPr>
          <w:rFonts w:cs="Arial"/>
          <w:b/>
          <w:bCs/>
        </w:rPr>
        <w:t>,</w:t>
      </w:r>
      <w:r w:rsidR="00494E2E">
        <w:rPr>
          <w:rFonts w:cs="Arial"/>
          <w:b/>
          <w:bCs/>
        </w:rPr>
        <w:t>5</w:t>
      </w:r>
      <w:r w:rsidR="00494E2E" w:rsidRPr="00E77CE0">
        <w:rPr>
          <w:rFonts w:cs="Arial"/>
          <w:b/>
          <w:bCs/>
        </w:rPr>
        <w:t> mld. Kč</w:t>
      </w:r>
      <w:r w:rsidR="00494E2E" w:rsidRPr="00E77CE0">
        <w:rPr>
          <w:rFonts w:cs="Arial"/>
        </w:rPr>
        <w:t xml:space="preserve"> a byl tak nominálně </w:t>
      </w:r>
      <w:r w:rsidR="00494E2E" w:rsidRPr="00E77CE0">
        <w:rPr>
          <w:rFonts w:cs="Arial"/>
          <w:b/>
          <w:bCs/>
        </w:rPr>
        <w:t>o </w:t>
      </w:r>
      <w:r w:rsidR="00494E2E">
        <w:rPr>
          <w:rFonts w:cs="Arial"/>
          <w:b/>
        </w:rPr>
        <w:t>4</w:t>
      </w:r>
      <w:r w:rsidR="00494E2E" w:rsidRPr="00E77CE0">
        <w:rPr>
          <w:rFonts w:cs="Arial"/>
          <w:b/>
        </w:rPr>
        <w:t>,</w:t>
      </w:r>
      <w:r w:rsidR="00494E2E">
        <w:rPr>
          <w:rFonts w:cs="Arial"/>
          <w:b/>
        </w:rPr>
        <w:t>9</w:t>
      </w:r>
      <w:r w:rsidR="00494E2E" w:rsidRPr="00E77CE0">
        <w:rPr>
          <w:rFonts w:cs="Arial"/>
          <w:b/>
        </w:rPr>
        <w:t> </w:t>
      </w:r>
      <w:r w:rsidR="00494E2E" w:rsidRPr="00E77CE0">
        <w:rPr>
          <w:rFonts w:cs="Arial"/>
          <w:b/>
          <w:bCs/>
        </w:rPr>
        <w:t xml:space="preserve">% </w:t>
      </w:r>
      <w:r w:rsidR="00494E2E">
        <w:rPr>
          <w:rFonts w:cs="Arial"/>
          <w:b/>
          <w:bCs/>
        </w:rPr>
        <w:t>vyš</w:t>
      </w:r>
      <w:r w:rsidR="00494E2E" w:rsidRPr="00E77CE0">
        <w:rPr>
          <w:rFonts w:cs="Arial"/>
          <w:b/>
          <w:bCs/>
        </w:rPr>
        <w:t xml:space="preserve">ší </w:t>
      </w:r>
      <w:r w:rsidR="00494E2E" w:rsidRPr="00E77CE0">
        <w:rPr>
          <w:rFonts w:cs="Arial"/>
        </w:rPr>
        <w:t>než ve stejném období roku 201</w:t>
      </w:r>
      <w:r w:rsidR="00494E2E">
        <w:rPr>
          <w:rFonts w:cs="Arial"/>
        </w:rPr>
        <w:t>4</w:t>
      </w:r>
      <w:r w:rsidR="00494E2E" w:rsidRPr="00E77CE0">
        <w:rPr>
          <w:rFonts w:cs="Arial"/>
        </w:rPr>
        <w:t>.</w:t>
      </w:r>
    </w:p>
    <w:p w:rsidR="006E0781" w:rsidRDefault="006E0781" w:rsidP="006E0781">
      <w:pPr>
        <w:spacing w:line="360" w:lineRule="auto"/>
        <w:jc w:val="both"/>
        <w:rPr>
          <w:rFonts w:cs="Arial"/>
        </w:rPr>
      </w:pPr>
    </w:p>
    <w:p w:rsidR="00494E2E" w:rsidRDefault="006E0781" w:rsidP="006E0781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ab/>
      </w:r>
      <w:r w:rsidR="00494E2E" w:rsidRPr="005C3331">
        <w:rPr>
          <w:rFonts w:cs="Arial"/>
          <w:b/>
        </w:rPr>
        <w:t>Průměrná hrubá měsíční nominální mzda</w:t>
      </w:r>
      <w:r w:rsidR="00494E2E" w:rsidRPr="005C3331">
        <w:rPr>
          <w:rFonts w:cs="Arial"/>
          <w:bCs/>
        </w:rPr>
        <w:t xml:space="preserve"> na přepočtené počty zaměstnanců </w:t>
      </w:r>
      <w:r w:rsidR="00494E2E" w:rsidRPr="005C3331">
        <w:rPr>
          <w:rFonts w:cs="Arial"/>
          <w:b/>
        </w:rPr>
        <w:t>v národním hospodářství dosáhla</w:t>
      </w:r>
      <w:r w:rsidR="00494E2E" w:rsidRPr="005C3331">
        <w:rPr>
          <w:rFonts w:cs="Arial"/>
        </w:rPr>
        <w:t xml:space="preserve"> </w:t>
      </w:r>
      <w:r w:rsidR="00494E2E" w:rsidRPr="005C3331">
        <w:rPr>
          <w:rFonts w:cs="Arial"/>
          <w:bCs/>
        </w:rPr>
        <w:t xml:space="preserve">v 1. pololetí 2015 </w:t>
      </w:r>
      <w:r w:rsidR="00494E2E" w:rsidRPr="005C3331">
        <w:rPr>
          <w:rFonts w:cs="Arial"/>
          <w:b/>
        </w:rPr>
        <w:t>výše</w:t>
      </w:r>
      <w:r w:rsidR="00494E2E" w:rsidRPr="005C3331">
        <w:rPr>
          <w:rFonts w:cs="Arial"/>
          <w:bCs/>
        </w:rPr>
        <w:t xml:space="preserve"> </w:t>
      </w:r>
      <w:r w:rsidR="00494E2E" w:rsidRPr="005C3331">
        <w:rPr>
          <w:rFonts w:cs="Arial"/>
          <w:b/>
        </w:rPr>
        <w:t>25 810 Kč,</w:t>
      </w:r>
      <w:r w:rsidR="00494E2E" w:rsidRPr="005C3331">
        <w:rPr>
          <w:rFonts w:cs="Arial"/>
        </w:rPr>
        <w:t xml:space="preserve"> což představovalo </w:t>
      </w:r>
      <w:r w:rsidR="00494E2E" w:rsidRPr="005C3331">
        <w:rPr>
          <w:rFonts w:cs="Arial"/>
          <w:b/>
        </w:rPr>
        <w:t>meziroční nominální</w:t>
      </w:r>
      <w:r w:rsidR="00494E2E" w:rsidRPr="005C3331">
        <w:rPr>
          <w:rFonts w:cs="Arial"/>
        </w:rPr>
        <w:t xml:space="preserve"> </w:t>
      </w:r>
      <w:r w:rsidR="00494E2E" w:rsidRPr="005C3331">
        <w:rPr>
          <w:rFonts w:cs="Arial"/>
          <w:b/>
        </w:rPr>
        <w:t>zvýšení o 2,9 %</w:t>
      </w:r>
      <w:r w:rsidR="00494E2E" w:rsidRPr="005C3331">
        <w:rPr>
          <w:rFonts w:cs="Arial"/>
          <w:bCs/>
        </w:rPr>
        <w:t xml:space="preserve"> (tj. o 725 Kč). Přestože dochází k pozvolnému zvýšení intenzity nárůstu průměrné mzdy, jedná se vzhledem k zaznamenaným pozitivním výsledkům o vývoji domácí ekonomiky a zaměstnanosti stále o její ne příliš výrazné zvýšení, které nedosahuje ani cca poloviny tempa růstu z</w:t>
      </w:r>
      <w:r w:rsidR="00494E2E">
        <w:rPr>
          <w:rFonts w:cs="Arial"/>
          <w:bCs/>
        </w:rPr>
        <w:t> </w:t>
      </w:r>
      <w:r w:rsidR="00494E2E" w:rsidRPr="005C3331">
        <w:rPr>
          <w:rFonts w:cs="Arial"/>
          <w:bCs/>
        </w:rPr>
        <w:t xml:space="preserve">„předkrizových let“. </w:t>
      </w:r>
      <w:r w:rsidR="00494E2E" w:rsidRPr="005C3331">
        <w:rPr>
          <w:rFonts w:cs="Arial"/>
          <w:b/>
          <w:bCs/>
        </w:rPr>
        <w:t>Vzhledem k přetrvávající nízké cenové inflaci</w:t>
      </w:r>
      <w:r w:rsidR="00494E2E" w:rsidRPr="005C3331">
        <w:rPr>
          <w:rFonts w:cs="Arial"/>
          <w:bCs/>
        </w:rPr>
        <w:t xml:space="preserve"> (nárůst o 0,4 % ve sledovaném období) </w:t>
      </w:r>
      <w:r w:rsidR="00494E2E" w:rsidRPr="005C3331">
        <w:rPr>
          <w:rFonts w:cs="Arial"/>
          <w:b/>
          <w:bCs/>
        </w:rPr>
        <w:t>došlo</w:t>
      </w:r>
      <w:r w:rsidR="00494E2E" w:rsidRPr="005C3331">
        <w:rPr>
          <w:rFonts w:cs="Arial"/>
          <w:bCs/>
        </w:rPr>
        <w:t xml:space="preserve"> po jejím zohlednění oproti 1. pololetí předchozího roku </w:t>
      </w:r>
      <w:r w:rsidR="00494E2E" w:rsidRPr="005C3331">
        <w:rPr>
          <w:rFonts w:cs="Arial"/>
          <w:b/>
          <w:bCs/>
        </w:rPr>
        <w:t>ke zvýšení průměrné reálné mzdy o 2,5 %.</w:t>
      </w:r>
    </w:p>
    <w:p w:rsidR="006E0781" w:rsidRDefault="006E0781" w:rsidP="006E0781">
      <w:pPr>
        <w:spacing w:line="360" w:lineRule="auto"/>
        <w:jc w:val="both"/>
        <w:rPr>
          <w:rFonts w:cs="Arial"/>
          <w:b/>
          <w:bCs/>
        </w:rPr>
      </w:pPr>
    </w:p>
    <w:p w:rsidR="00494E2E" w:rsidRPr="005C3331" w:rsidRDefault="006E0781" w:rsidP="006E0781">
      <w:pPr>
        <w:spacing w:line="36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 w:rsidR="00494E2E" w:rsidRPr="005C3331">
        <w:rPr>
          <w:rFonts w:cs="Arial"/>
          <w:bCs/>
        </w:rPr>
        <w:t>Z grafu, který zaznamenává vývoj průměrné mzdy v jednotlivých čtvrtletích od</w:t>
      </w:r>
      <w:r>
        <w:rPr>
          <w:rFonts w:cs="Arial"/>
          <w:bCs/>
        </w:rPr>
        <w:t> </w:t>
      </w:r>
      <w:r w:rsidR="00494E2E" w:rsidRPr="005C3331">
        <w:rPr>
          <w:rFonts w:cs="Arial"/>
          <w:bCs/>
        </w:rPr>
        <w:t>roku 2013, je patrný její pozvolný nárůst a stabilní nízká míra inflace.</w:t>
      </w:r>
    </w:p>
    <w:p w:rsidR="00494E2E" w:rsidRPr="005C3331" w:rsidRDefault="00494E2E" w:rsidP="00F96B46">
      <w:pPr>
        <w:jc w:val="center"/>
        <w:rPr>
          <w:rFonts w:cs="Arial"/>
          <w:bCs/>
        </w:rPr>
      </w:pPr>
      <w:r>
        <w:rPr>
          <w:rFonts w:cs="Arial"/>
          <w:bCs/>
          <w:noProof/>
        </w:rPr>
        <w:lastRenderedPageBreak/>
        <w:drawing>
          <wp:inline distT="0" distB="0" distL="0" distR="0">
            <wp:extent cx="5715000" cy="4019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9" t="1203" r="1476" b="1353"/>
                    <a:stretch/>
                  </pic:blipFill>
                  <pic:spPr bwMode="auto">
                    <a:xfrm>
                      <a:off x="0" y="0"/>
                      <a:ext cx="5723384" cy="402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0781" w:rsidRPr="00F96B46" w:rsidRDefault="006E0781" w:rsidP="006E0781">
      <w:pPr>
        <w:spacing w:before="240"/>
        <w:jc w:val="both"/>
        <w:rPr>
          <w:rFonts w:cs="Arial"/>
          <w:sz w:val="20"/>
        </w:rPr>
      </w:pPr>
      <w:r w:rsidRPr="00F96B46">
        <w:rPr>
          <w:rFonts w:cs="Arial"/>
          <w:sz w:val="20"/>
        </w:rPr>
        <w:t>Zpracováno z dat ČSÚ</w:t>
      </w:r>
    </w:p>
    <w:p w:rsidR="006E0781" w:rsidRDefault="006E0781" w:rsidP="00822A5F">
      <w:pPr>
        <w:spacing w:after="240" w:line="360" w:lineRule="auto"/>
        <w:jc w:val="both"/>
        <w:rPr>
          <w:rFonts w:cs="Arial"/>
          <w:bCs/>
        </w:rPr>
      </w:pPr>
    </w:p>
    <w:p w:rsidR="00494E2E" w:rsidRDefault="006E0781" w:rsidP="006E0781">
      <w:pPr>
        <w:spacing w:line="36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 w:rsidR="00494E2E" w:rsidRPr="005C3331">
        <w:rPr>
          <w:rFonts w:cs="Arial"/>
          <w:bCs/>
        </w:rPr>
        <w:t xml:space="preserve">Vývoj průměrné mzdy nebyl v podnikatelské a nepodnikatelské sféře shodný. </w:t>
      </w:r>
      <w:r w:rsidR="00494E2E" w:rsidRPr="005C3331">
        <w:rPr>
          <w:rFonts w:cs="Arial"/>
          <w:b/>
          <w:bCs/>
        </w:rPr>
        <w:t xml:space="preserve">Vyšší nárůst </w:t>
      </w:r>
      <w:r w:rsidR="00494E2E" w:rsidRPr="005C3331">
        <w:rPr>
          <w:rFonts w:cs="Arial"/>
          <w:bCs/>
        </w:rPr>
        <w:t>(o 1,0 p. b.) byl zaznamenán</w:t>
      </w:r>
      <w:r w:rsidR="00494E2E" w:rsidRPr="005C3331">
        <w:rPr>
          <w:rFonts w:cs="Arial"/>
          <w:b/>
          <w:bCs/>
        </w:rPr>
        <w:t xml:space="preserve"> v nepodnikatelské sféře </w:t>
      </w:r>
      <w:r>
        <w:rPr>
          <w:rFonts w:cs="Arial"/>
          <w:b/>
          <w:bCs/>
        </w:rPr>
        <w:t>–</w:t>
      </w:r>
      <w:r w:rsidR="00494E2E" w:rsidRPr="005C3331">
        <w:rPr>
          <w:rFonts w:cs="Arial"/>
          <w:b/>
          <w:bCs/>
        </w:rPr>
        <w:t xml:space="preserve"> nominálně o 3,7 %,</w:t>
      </w:r>
      <w:r w:rsidR="00494E2E" w:rsidRPr="005C3331">
        <w:rPr>
          <w:rFonts w:cs="Arial"/>
          <w:bCs/>
        </w:rPr>
        <w:t xml:space="preserve"> resp. </w:t>
      </w:r>
      <w:r w:rsidR="00494E2E" w:rsidRPr="005C3331">
        <w:rPr>
          <w:rFonts w:cs="Arial"/>
          <w:b/>
          <w:bCs/>
        </w:rPr>
        <w:t>reálně o 3,3 % a průměrný plat dosáhl úrovně 25 640 Kč. V podnikatelské sféře se průměrná mzda zvýšila nominálně o 2,7 %,</w:t>
      </w:r>
      <w:r w:rsidR="00494E2E" w:rsidRPr="005C3331">
        <w:rPr>
          <w:rFonts w:cs="Arial"/>
          <w:bCs/>
        </w:rPr>
        <w:t xml:space="preserve"> resp.</w:t>
      </w:r>
      <w:r>
        <w:rPr>
          <w:rFonts w:cs="Arial"/>
          <w:bCs/>
        </w:rPr>
        <w:t> </w:t>
      </w:r>
      <w:r w:rsidR="00494E2E" w:rsidRPr="005C3331">
        <w:rPr>
          <w:rFonts w:cs="Arial"/>
          <w:b/>
          <w:bCs/>
        </w:rPr>
        <w:t>reálně o 2,3 % na 25 848 Kč</w:t>
      </w:r>
      <w:r w:rsidR="00494E2E" w:rsidRPr="005C3331">
        <w:rPr>
          <w:rFonts w:cs="Arial"/>
          <w:bCs/>
        </w:rPr>
        <w:t xml:space="preserve"> – viz tabul</w:t>
      </w:r>
      <w:r w:rsidR="00494E2E" w:rsidRPr="00F96B46">
        <w:rPr>
          <w:rFonts w:cs="Arial"/>
          <w:bCs/>
        </w:rPr>
        <w:t>k</w:t>
      </w:r>
      <w:r w:rsidRPr="00F96B46">
        <w:rPr>
          <w:rFonts w:cs="Arial"/>
          <w:bCs/>
        </w:rPr>
        <w:t>u</w:t>
      </w:r>
      <w:r w:rsidR="00494E2E" w:rsidRPr="005C3331">
        <w:rPr>
          <w:rFonts w:cs="Arial"/>
          <w:bCs/>
        </w:rPr>
        <w:t xml:space="preserve"> č. </w:t>
      </w:r>
      <w:r w:rsidR="00494E2E">
        <w:rPr>
          <w:rFonts w:cs="Arial"/>
          <w:bCs/>
        </w:rPr>
        <w:t>3</w:t>
      </w:r>
      <w:r w:rsidR="00494E2E" w:rsidRPr="005C3331">
        <w:rPr>
          <w:rFonts w:cs="Arial"/>
          <w:bCs/>
        </w:rPr>
        <w:t xml:space="preserve"> v příloze. Průměrná mzda v podnikatelské sféře svojí úrovní převýšila průměrný plat ve veřejných službách a správě o 208 Kč. Relace této průměrné mzdy k průměrnému platu činila ve</w:t>
      </w:r>
      <w:r>
        <w:rPr>
          <w:rFonts w:cs="Arial"/>
          <w:bCs/>
        </w:rPr>
        <w:t> </w:t>
      </w:r>
      <w:r w:rsidR="00494E2E" w:rsidRPr="005C3331">
        <w:rPr>
          <w:rFonts w:cs="Arial"/>
          <w:bCs/>
        </w:rPr>
        <w:t>sledovaném období 100,8 % (ve stejném období předchozího roku 101,8 %).</w:t>
      </w:r>
    </w:p>
    <w:p w:rsidR="006E0781" w:rsidRDefault="006E0781" w:rsidP="006E0781">
      <w:pPr>
        <w:spacing w:line="360" w:lineRule="auto"/>
        <w:jc w:val="both"/>
        <w:rPr>
          <w:rFonts w:cs="Arial"/>
          <w:bCs/>
        </w:rPr>
      </w:pPr>
    </w:p>
    <w:p w:rsidR="00494E2E" w:rsidRDefault="006E0781" w:rsidP="006E0781">
      <w:pPr>
        <w:spacing w:line="36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 w:rsidR="00494E2E" w:rsidRPr="005C3331">
        <w:rPr>
          <w:rFonts w:cs="Arial"/>
          <w:b/>
          <w:bCs/>
        </w:rPr>
        <w:t>V samotném 2. čtvrtletí</w:t>
      </w:r>
      <w:r w:rsidR="00494E2E" w:rsidRPr="005C3331">
        <w:rPr>
          <w:rFonts w:cs="Arial"/>
          <w:bCs/>
        </w:rPr>
        <w:t xml:space="preserve"> letošního roku bylo zaznamenáno </w:t>
      </w:r>
      <w:r w:rsidR="00494E2E" w:rsidRPr="005C3331">
        <w:rPr>
          <w:rFonts w:cs="Arial"/>
          <w:b/>
          <w:bCs/>
        </w:rPr>
        <w:t xml:space="preserve">vyšší tempo růstu průměrné mzdy </w:t>
      </w:r>
      <w:r>
        <w:rPr>
          <w:rFonts w:cs="Arial"/>
          <w:b/>
          <w:bCs/>
        </w:rPr>
        <w:t>–</w:t>
      </w:r>
      <w:r w:rsidR="00494E2E" w:rsidRPr="005C3331">
        <w:rPr>
          <w:rFonts w:cs="Arial"/>
          <w:b/>
          <w:bCs/>
        </w:rPr>
        <w:t xml:space="preserve"> nominálně o 3,4 % a reálně o 2,7 %</w:t>
      </w:r>
      <w:r>
        <w:rPr>
          <w:rFonts w:cs="Arial"/>
          <w:b/>
          <w:bCs/>
        </w:rPr>
        <w:t>,</w:t>
      </w:r>
      <w:r w:rsidR="00494E2E" w:rsidRPr="005C3331">
        <w:rPr>
          <w:rFonts w:cs="Arial"/>
          <w:bCs/>
        </w:rPr>
        <w:t xml:space="preserve"> na kterém se výrazněji podílela nepodnikatelská sféra (vzhledem ke zvýšení platových tarifů na</w:t>
      </w:r>
      <w:r>
        <w:rPr>
          <w:rFonts w:cs="Arial"/>
          <w:bCs/>
        </w:rPr>
        <w:t> </w:t>
      </w:r>
      <w:r w:rsidR="00494E2E" w:rsidRPr="005C3331">
        <w:rPr>
          <w:rFonts w:cs="Arial"/>
          <w:bCs/>
        </w:rPr>
        <w:t xml:space="preserve">konci roku 2014). </w:t>
      </w:r>
      <w:r w:rsidR="00494E2E" w:rsidRPr="005C3331">
        <w:rPr>
          <w:rFonts w:cs="Arial"/>
          <w:b/>
          <w:bCs/>
        </w:rPr>
        <w:t>Průměrná hrubá měsíční nominální mzda</w:t>
      </w:r>
      <w:r w:rsidR="00494E2E" w:rsidRPr="005C3331">
        <w:rPr>
          <w:rFonts w:cs="Arial"/>
          <w:bCs/>
        </w:rPr>
        <w:t xml:space="preserve"> </w:t>
      </w:r>
      <w:r w:rsidR="00494E2E" w:rsidRPr="005C3331">
        <w:rPr>
          <w:rFonts w:cs="Arial"/>
          <w:b/>
          <w:bCs/>
        </w:rPr>
        <w:t>v národním hospodářství dosáhla 26 287 Kč.</w:t>
      </w:r>
      <w:r w:rsidR="00494E2E" w:rsidRPr="005C3331">
        <w:rPr>
          <w:rFonts w:cs="Arial"/>
          <w:bCs/>
        </w:rPr>
        <w:t xml:space="preserve"> V podnikatelské sféře vzrostla průměrná mzda nominálně o 3,2 %, resp. reálně o 2,5 %, v nepodnikatelské sféře činil nominální nárůst průměrného platu 4,3 %, resp. reálně 3,6 %.</w:t>
      </w:r>
    </w:p>
    <w:p w:rsidR="00494E2E" w:rsidRDefault="006E0781" w:rsidP="006E0781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ab/>
      </w:r>
      <w:r w:rsidR="00494E2E" w:rsidRPr="005C3331">
        <w:rPr>
          <w:rFonts w:cs="Arial"/>
          <w:b/>
          <w:bCs/>
        </w:rPr>
        <w:t xml:space="preserve">Medián mezd </w:t>
      </w:r>
      <w:r w:rsidR="00494E2E" w:rsidRPr="005C3331">
        <w:rPr>
          <w:rFonts w:cs="Arial"/>
          <w:bCs/>
        </w:rPr>
        <w:t xml:space="preserve">(prostřední hodnota mzdového rozdělení) </w:t>
      </w:r>
      <w:r w:rsidR="00494E2E" w:rsidRPr="005C3331">
        <w:rPr>
          <w:rFonts w:cs="Arial"/>
          <w:b/>
          <w:bCs/>
        </w:rPr>
        <w:t>vzrostl</w:t>
      </w:r>
      <w:r w:rsidR="00494E2E" w:rsidRPr="005C3331">
        <w:rPr>
          <w:rFonts w:cs="Arial"/>
          <w:bCs/>
        </w:rPr>
        <w:t xml:space="preserve"> meziročně</w:t>
      </w:r>
      <w:r w:rsidR="00494E2E" w:rsidRPr="005C3331">
        <w:rPr>
          <w:rFonts w:cs="Arial"/>
          <w:b/>
          <w:bCs/>
        </w:rPr>
        <w:t xml:space="preserve"> ve 2. čtvrtletí 2015</w:t>
      </w:r>
      <w:r w:rsidR="00494E2E" w:rsidRPr="005C3331">
        <w:rPr>
          <w:rFonts w:cs="Arial"/>
          <w:bCs/>
        </w:rPr>
        <w:t xml:space="preserve"> </w:t>
      </w:r>
      <w:r w:rsidR="00494E2E" w:rsidRPr="005C3331">
        <w:rPr>
          <w:rFonts w:cs="Arial"/>
          <w:b/>
          <w:bCs/>
        </w:rPr>
        <w:t xml:space="preserve">nominálně o 4,3 % (reálně o 3,6 %) </w:t>
      </w:r>
      <w:r w:rsidR="00494E2E" w:rsidRPr="005C3331">
        <w:rPr>
          <w:rFonts w:cs="Arial"/>
          <w:bCs/>
        </w:rPr>
        <w:t xml:space="preserve">na úroveň </w:t>
      </w:r>
      <w:r w:rsidR="00494E2E" w:rsidRPr="005C3331">
        <w:rPr>
          <w:rFonts w:cs="Arial"/>
          <w:b/>
          <w:bCs/>
        </w:rPr>
        <w:t xml:space="preserve">22 230 Kč. </w:t>
      </w:r>
      <w:r w:rsidR="00494E2E" w:rsidRPr="005C3331">
        <w:rPr>
          <w:rFonts w:cs="Arial"/>
          <w:bCs/>
        </w:rPr>
        <w:t xml:space="preserve">Nárůst mediánu byl o 0,9 p. b. vyšší než činilo zvýšení průměrné mzdy, tzn. mzdová úroveň „prostředního zaměstnance“ rostla rychleji než zaměstnance s průměrnou mzdou. Uvedená skutečnost naznačuje i to, že relativně výrazněji vzrostly nejnižší mzdy. </w:t>
      </w:r>
      <w:r w:rsidR="00494E2E" w:rsidRPr="005C3331">
        <w:rPr>
          <w:rFonts w:cs="Arial"/>
          <w:b/>
          <w:bCs/>
        </w:rPr>
        <w:t>Medián mezd byl</w:t>
      </w:r>
      <w:r w:rsidR="00494E2E" w:rsidRPr="005C3331">
        <w:rPr>
          <w:rFonts w:cs="Arial"/>
          <w:bCs/>
        </w:rPr>
        <w:t xml:space="preserve"> </w:t>
      </w:r>
      <w:r w:rsidR="00494E2E" w:rsidRPr="005C3331">
        <w:rPr>
          <w:rFonts w:cs="Arial"/>
          <w:b/>
          <w:bCs/>
        </w:rPr>
        <w:t xml:space="preserve">nižší o 4 057 Kč než průměrná </w:t>
      </w:r>
      <w:r w:rsidR="00494E2E" w:rsidRPr="006E0781">
        <w:rPr>
          <w:rFonts w:cs="Arial"/>
          <w:b/>
          <w:bCs/>
        </w:rPr>
        <w:t>mzda;</w:t>
      </w:r>
      <w:r w:rsidR="00494E2E" w:rsidRPr="005C3331">
        <w:rPr>
          <w:rFonts w:cs="Arial"/>
          <w:bCs/>
        </w:rPr>
        <w:t xml:space="preserve"> medián mezd mužů činil 24 398 Kč, medián mezd žen představoval 19 837 Kč (tj. o 4 561 Kč méně než</w:t>
      </w:r>
      <w:r w:rsidR="00822A5F">
        <w:rPr>
          <w:rFonts w:cs="Arial"/>
          <w:bCs/>
        </w:rPr>
        <w:t> </w:t>
      </w:r>
      <w:r w:rsidR="00494E2E" w:rsidRPr="005C3331">
        <w:rPr>
          <w:rFonts w:cs="Arial"/>
          <w:bCs/>
        </w:rPr>
        <w:t>u mužů; jejich vzájemná relace dosáhla úrovně 123,0 %).</w:t>
      </w:r>
    </w:p>
    <w:p w:rsidR="006E0781" w:rsidRDefault="006E0781" w:rsidP="006E0781">
      <w:pPr>
        <w:spacing w:line="360" w:lineRule="auto"/>
        <w:jc w:val="both"/>
        <w:rPr>
          <w:rFonts w:cs="Arial"/>
          <w:bCs/>
        </w:rPr>
      </w:pPr>
    </w:p>
    <w:p w:rsidR="00494E2E" w:rsidRDefault="006E0781" w:rsidP="006E0781">
      <w:pPr>
        <w:spacing w:line="360" w:lineRule="auto"/>
        <w:jc w:val="both"/>
        <w:rPr>
          <w:rFonts w:cs="Arial"/>
        </w:rPr>
      </w:pPr>
      <w:r>
        <w:rPr>
          <w:rFonts w:cs="Arial"/>
          <w:bCs/>
        </w:rPr>
        <w:tab/>
      </w:r>
      <w:r w:rsidR="00494E2E" w:rsidRPr="00E77CE0">
        <w:rPr>
          <w:rFonts w:cs="Arial"/>
          <w:b/>
          <w:bCs/>
        </w:rPr>
        <w:t>Výše průměrné</w:t>
      </w:r>
      <w:r w:rsidR="00494E2E" w:rsidRPr="00E77CE0">
        <w:rPr>
          <w:rFonts w:cs="Arial"/>
          <w:bCs/>
        </w:rPr>
        <w:t xml:space="preserve"> </w:t>
      </w:r>
      <w:r w:rsidR="00494E2E" w:rsidRPr="00E77CE0">
        <w:rPr>
          <w:rFonts w:cs="Arial"/>
        </w:rPr>
        <w:t>měsíční</w:t>
      </w:r>
      <w:r w:rsidR="00494E2E" w:rsidRPr="00E77CE0">
        <w:rPr>
          <w:rFonts w:cs="Arial"/>
          <w:bCs/>
        </w:rPr>
        <w:t xml:space="preserve"> </w:t>
      </w:r>
      <w:r w:rsidR="00494E2E" w:rsidRPr="00E77CE0">
        <w:rPr>
          <w:rFonts w:cs="Arial"/>
          <w:b/>
          <w:bCs/>
        </w:rPr>
        <w:t>mzdy zaměstnanců pracujících v malých firmách</w:t>
      </w:r>
      <w:r w:rsidR="00494E2E" w:rsidRPr="00E77CE0">
        <w:rPr>
          <w:rFonts w:cs="Arial"/>
        </w:rPr>
        <w:t xml:space="preserve"> (právnické a fyzické osoby s méně jak 20 zaměstnanci)</w:t>
      </w:r>
      <w:r w:rsidR="00494E2E" w:rsidRPr="00E77CE0">
        <w:rPr>
          <w:rFonts w:cs="Arial"/>
          <w:bCs/>
        </w:rPr>
        <w:t xml:space="preserve"> </w:t>
      </w:r>
      <w:r w:rsidR="00494E2E" w:rsidRPr="00E77CE0">
        <w:rPr>
          <w:rFonts w:cs="Arial"/>
          <w:b/>
        </w:rPr>
        <w:t>podnikatelské sféry</w:t>
      </w:r>
      <w:r w:rsidR="00494E2E" w:rsidRPr="00E77CE0">
        <w:rPr>
          <w:rFonts w:cs="Arial"/>
        </w:rPr>
        <w:t xml:space="preserve"> v</w:t>
      </w:r>
      <w:r w:rsidR="00F96B46">
        <w:rPr>
          <w:rFonts w:cs="Arial"/>
        </w:rPr>
        <w:t> </w:t>
      </w:r>
      <w:r w:rsidR="00494E2E" w:rsidRPr="00E77CE0">
        <w:rPr>
          <w:rFonts w:cs="Arial"/>
        </w:rPr>
        <w:t xml:space="preserve">1. pololetí letošního roku </w:t>
      </w:r>
      <w:r w:rsidR="00494E2E" w:rsidRPr="00E77CE0">
        <w:rPr>
          <w:rFonts w:cs="Arial"/>
          <w:b/>
          <w:bCs/>
        </w:rPr>
        <w:t>činila 1</w:t>
      </w:r>
      <w:r w:rsidR="00494E2E">
        <w:rPr>
          <w:rFonts w:cs="Arial"/>
          <w:b/>
          <w:bCs/>
        </w:rPr>
        <w:t>8</w:t>
      </w:r>
      <w:r w:rsidR="00494E2E" w:rsidRPr="00E77CE0">
        <w:rPr>
          <w:rFonts w:cs="Arial"/>
          <w:b/>
          <w:bCs/>
        </w:rPr>
        <w:t> </w:t>
      </w:r>
      <w:r w:rsidR="00494E2E">
        <w:rPr>
          <w:rFonts w:cs="Arial"/>
          <w:b/>
          <w:bCs/>
        </w:rPr>
        <w:t>571</w:t>
      </w:r>
      <w:r w:rsidR="00494E2E" w:rsidRPr="00E77CE0">
        <w:rPr>
          <w:rFonts w:cs="Arial"/>
          <w:b/>
          <w:bCs/>
        </w:rPr>
        <w:t> Kč, tj. 72,0 %</w:t>
      </w:r>
      <w:r w:rsidR="00494E2E" w:rsidRPr="00E77CE0">
        <w:rPr>
          <w:rFonts w:cs="Arial"/>
          <w:bCs/>
        </w:rPr>
        <w:t xml:space="preserve"> </w:t>
      </w:r>
      <w:r w:rsidR="00494E2E" w:rsidRPr="00E77CE0">
        <w:rPr>
          <w:rFonts w:cs="Arial"/>
        </w:rPr>
        <w:t xml:space="preserve">celospolečenského </w:t>
      </w:r>
      <w:r w:rsidR="00494E2E" w:rsidRPr="00E77CE0">
        <w:rPr>
          <w:rFonts w:cs="Arial"/>
          <w:b/>
          <w:bCs/>
        </w:rPr>
        <w:t>výdělkového průměru</w:t>
      </w:r>
      <w:r w:rsidR="00494E2E" w:rsidRPr="00E77CE0">
        <w:rPr>
          <w:rFonts w:cs="Arial"/>
        </w:rPr>
        <w:t>; došlo ke zvýšení tohoto podílu (o </w:t>
      </w:r>
      <w:r w:rsidR="00494E2E">
        <w:rPr>
          <w:rFonts w:cs="Arial"/>
        </w:rPr>
        <w:t>1</w:t>
      </w:r>
      <w:r w:rsidR="00494E2E" w:rsidRPr="00E77CE0">
        <w:rPr>
          <w:rFonts w:cs="Arial"/>
        </w:rPr>
        <w:t>,</w:t>
      </w:r>
      <w:r w:rsidR="00494E2E">
        <w:rPr>
          <w:rFonts w:cs="Arial"/>
        </w:rPr>
        <w:t>1</w:t>
      </w:r>
      <w:r w:rsidR="00494E2E" w:rsidRPr="00E77CE0">
        <w:rPr>
          <w:rFonts w:cs="Arial"/>
        </w:rPr>
        <w:t> p.</w:t>
      </w:r>
      <w:r w:rsidR="00494E2E">
        <w:rPr>
          <w:rFonts w:cs="Arial"/>
        </w:rPr>
        <w:t> </w:t>
      </w:r>
      <w:r w:rsidR="00494E2E" w:rsidRPr="00E77CE0">
        <w:rPr>
          <w:rFonts w:cs="Arial"/>
        </w:rPr>
        <w:t>b.) v porovnání se</w:t>
      </w:r>
      <w:r w:rsidR="00822A5F">
        <w:rPr>
          <w:rFonts w:cs="Arial"/>
        </w:rPr>
        <w:t> </w:t>
      </w:r>
      <w:r w:rsidR="00494E2E" w:rsidRPr="00E77CE0">
        <w:rPr>
          <w:rFonts w:cs="Arial"/>
        </w:rPr>
        <w:t>stejným obdobím roku 201</w:t>
      </w:r>
      <w:r w:rsidR="00494E2E">
        <w:rPr>
          <w:rFonts w:cs="Arial"/>
        </w:rPr>
        <w:t>4</w:t>
      </w:r>
      <w:r w:rsidR="00494E2E" w:rsidRPr="00E77CE0">
        <w:rPr>
          <w:rFonts w:cs="Arial"/>
        </w:rPr>
        <w:t xml:space="preserve"> – viz tabulku č. 4 v příloze.</w:t>
      </w:r>
    </w:p>
    <w:p w:rsidR="00F96B46" w:rsidRDefault="00F96B46" w:rsidP="006E0781">
      <w:pPr>
        <w:spacing w:line="360" w:lineRule="auto"/>
        <w:jc w:val="both"/>
        <w:rPr>
          <w:rFonts w:cs="Arial"/>
        </w:rPr>
      </w:pPr>
    </w:p>
    <w:p w:rsidR="00F96B46" w:rsidRDefault="00F96B46" w:rsidP="006E0781">
      <w:pPr>
        <w:spacing w:line="360" w:lineRule="auto"/>
        <w:jc w:val="both"/>
        <w:rPr>
          <w:rFonts w:cs="Arial"/>
        </w:rPr>
      </w:pPr>
    </w:p>
    <w:p w:rsidR="00494E2E" w:rsidRPr="00C6709F" w:rsidRDefault="00F96B46" w:rsidP="00F96B46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ab/>
      </w:r>
      <w:r w:rsidR="00494E2E" w:rsidRPr="00C6709F">
        <w:rPr>
          <w:rFonts w:cs="Arial"/>
        </w:rPr>
        <w:t>Vývoj mezd charakterizovaly zejména následující skutečnosti:</w:t>
      </w:r>
    </w:p>
    <w:p w:rsidR="00494E2E" w:rsidRPr="00F96B46" w:rsidRDefault="00494E2E" w:rsidP="00F96B46">
      <w:pPr>
        <w:pStyle w:val="Odstavecseseznamem"/>
        <w:numPr>
          <w:ilvl w:val="0"/>
          <w:numId w:val="22"/>
        </w:numPr>
        <w:spacing w:after="200" w:line="360" w:lineRule="auto"/>
        <w:jc w:val="both"/>
        <w:rPr>
          <w:rFonts w:cs="Arial"/>
          <w:bCs/>
          <w:szCs w:val="24"/>
        </w:rPr>
      </w:pPr>
      <w:r w:rsidRPr="00F96B46">
        <w:rPr>
          <w:rFonts w:cs="Arial"/>
          <w:b/>
          <w:bCs/>
          <w:szCs w:val="24"/>
        </w:rPr>
        <w:t>zvyšující se dynamika nárůst průměrné nominální mzdy</w:t>
      </w:r>
      <w:r w:rsidRPr="00F96B46">
        <w:rPr>
          <w:rFonts w:cs="Arial"/>
          <w:bCs/>
          <w:szCs w:val="24"/>
        </w:rPr>
        <w:t xml:space="preserve"> v národním hospodářství,</w:t>
      </w:r>
    </w:p>
    <w:p w:rsidR="00494E2E" w:rsidRPr="00F96B46" w:rsidRDefault="00494E2E" w:rsidP="00F96B46">
      <w:pPr>
        <w:pStyle w:val="Odstavecseseznamem"/>
        <w:numPr>
          <w:ilvl w:val="0"/>
          <w:numId w:val="22"/>
        </w:numPr>
        <w:spacing w:after="200" w:line="360" w:lineRule="auto"/>
        <w:jc w:val="both"/>
        <w:rPr>
          <w:rFonts w:cs="Arial"/>
          <w:bCs/>
          <w:szCs w:val="24"/>
        </w:rPr>
      </w:pPr>
      <w:r w:rsidRPr="00F96B46">
        <w:rPr>
          <w:rFonts w:cs="Arial"/>
          <w:bCs/>
          <w:szCs w:val="24"/>
        </w:rPr>
        <w:t>vyšší růst průměrného platu v nepodnikatelské sféře proti průměrné mzdě ve</w:t>
      </w:r>
      <w:r w:rsidR="00F96B46">
        <w:rPr>
          <w:rFonts w:cs="Arial"/>
          <w:bCs/>
          <w:szCs w:val="24"/>
        </w:rPr>
        <w:t> </w:t>
      </w:r>
      <w:r w:rsidRPr="00F96B46">
        <w:rPr>
          <w:rFonts w:cs="Arial"/>
          <w:bCs/>
          <w:szCs w:val="24"/>
        </w:rPr>
        <w:t>sféře podnikatelské,</w:t>
      </w:r>
    </w:p>
    <w:p w:rsidR="00494E2E" w:rsidRPr="00F96B46" w:rsidRDefault="00494E2E" w:rsidP="00F96B46">
      <w:pPr>
        <w:pStyle w:val="Odstavecseseznamem"/>
        <w:numPr>
          <w:ilvl w:val="0"/>
          <w:numId w:val="22"/>
        </w:numPr>
        <w:spacing w:after="200" w:line="360" w:lineRule="auto"/>
        <w:jc w:val="both"/>
        <w:rPr>
          <w:rFonts w:cs="Arial"/>
          <w:bCs/>
          <w:szCs w:val="24"/>
        </w:rPr>
      </w:pPr>
      <w:r w:rsidRPr="00F96B46">
        <w:rPr>
          <w:rFonts w:cs="Arial"/>
          <w:b/>
          <w:bCs/>
          <w:szCs w:val="24"/>
        </w:rPr>
        <w:t>nárůst kupní síly výdělků</w:t>
      </w:r>
      <w:r w:rsidR="0040750A">
        <w:rPr>
          <w:rFonts w:cs="Arial"/>
          <w:b/>
          <w:bCs/>
          <w:szCs w:val="24"/>
        </w:rPr>
        <w:t>,</w:t>
      </w:r>
      <w:r w:rsidRPr="00F96B46">
        <w:rPr>
          <w:rFonts w:cs="Arial"/>
          <w:bCs/>
          <w:szCs w:val="24"/>
        </w:rPr>
        <w:t xml:space="preserve"> jak </w:t>
      </w:r>
      <w:r w:rsidRPr="00F96B46">
        <w:rPr>
          <w:rFonts w:cs="Arial"/>
          <w:b/>
          <w:bCs/>
          <w:szCs w:val="24"/>
        </w:rPr>
        <w:t>v podnikatelské sféře</w:t>
      </w:r>
      <w:r w:rsidR="00F96B46">
        <w:rPr>
          <w:rFonts w:cs="Arial"/>
          <w:b/>
          <w:bCs/>
          <w:szCs w:val="24"/>
        </w:rPr>
        <w:t>,</w:t>
      </w:r>
      <w:r w:rsidRPr="00F96B46">
        <w:rPr>
          <w:rFonts w:cs="Arial"/>
          <w:bCs/>
          <w:szCs w:val="24"/>
        </w:rPr>
        <w:t xml:space="preserve"> tak i </w:t>
      </w:r>
      <w:r w:rsidRPr="00F96B46">
        <w:rPr>
          <w:rFonts w:cs="Arial"/>
          <w:b/>
          <w:bCs/>
          <w:szCs w:val="24"/>
        </w:rPr>
        <w:t>v nepodnikatelské sféře</w:t>
      </w:r>
      <w:r w:rsidR="0040750A">
        <w:rPr>
          <w:rFonts w:cs="Arial"/>
          <w:b/>
          <w:bCs/>
          <w:szCs w:val="24"/>
        </w:rPr>
        <w:t>,</w:t>
      </w:r>
    </w:p>
    <w:p w:rsidR="00494E2E" w:rsidRPr="00F96B46" w:rsidRDefault="00494E2E" w:rsidP="00F96B46">
      <w:pPr>
        <w:pStyle w:val="Odstavecseseznamem"/>
        <w:numPr>
          <w:ilvl w:val="0"/>
          <w:numId w:val="22"/>
        </w:numPr>
        <w:spacing w:after="200" w:line="360" w:lineRule="auto"/>
        <w:jc w:val="both"/>
        <w:rPr>
          <w:rFonts w:cs="Arial"/>
          <w:bCs/>
          <w:szCs w:val="24"/>
        </w:rPr>
      </w:pPr>
      <w:r w:rsidRPr="00F96B46">
        <w:rPr>
          <w:rFonts w:cs="Arial"/>
          <w:bCs/>
          <w:szCs w:val="24"/>
        </w:rPr>
        <w:t xml:space="preserve">příznivý vývoj produktivity práce a mezd, tzn. </w:t>
      </w:r>
      <w:r w:rsidRPr="00F96B46">
        <w:rPr>
          <w:rFonts w:cs="Arial"/>
          <w:b/>
          <w:bCs/>
          <w:szCs w:val="24"/>
        </w:rPr>
        <w:t>nárůst produktivity práce vyšší než byla dynamika růstu mezd</w:t>
      </w:r>
      <w:r w:rsidR="00F96B46">
        <w:rPr>
          <w:rFonts w:cs="Arial"/>
          <w:b/>
          <w:bCs/>
          <w:szCs w:val="24"/>
        </w:rPr>
        <w:t>,</w:t>
      </w:r>
    </w:p>
    <w:p w:rsidR="00494E2E" w:rsidRPr="00F96B46" w:rsidRDefault="00494E2E" w:rsidP="00F96B46">
      <w:pPr>
        <w:pStyle w:val="Odstavecseseznamem"/>
        <w:numPr>
          <w:ilvl w:val="0"/>
          <w:numId w:val="22"/>
        </w:numPr>
        <w:spacing w:after="200" w:line="360" w:lineRule="auto"/>
        <w:jc w:val="both"/>
        <w:rPr>
          <w:rFonts w:cs="Arial"/>
          <w:bCs/>
          <w:szCs w:val="24"/>
        </w:rPr>
      </w:pPr>
      <w:r w:rsidRPr="00F96B46">
        <w:rPr>
          <w:rFonts w:cs="Arial"/>
          <w:b/>
          <w:szCs w:val="24"/>
        </w:rPr>
        <w:t>snížení</w:t>
      </w:r>
      <w:r w:rsidRPr="00F96B46">
        <w:rPr>
          <w:rFonts w:cs="Arial"/>
          <w:szCs w:val="24"/>
        </w:rPr>
        <w:t xml:space="preserve"> </w:t>
      </w:r>
      <w:r w:rsidRPr="00F96B46">
        <w:rPr>
          <w:rFonts w:cs="Arial"/>
          <w:b/>
          <w:szCs w:val="24"/>
        </w:rPr>
        <w:t xml:space="preserve">meziodvětvové </w:t>
      </w:r>
      <w:r w:rsidR="00574057">
        <w:rPr>
          <w:rFonts w:cs="Arial"/>
          <w:szCs w:val="24"/>
        </w:rPr>
        <w:t>i</w:t>
      </w:r>
      <w:r w:rsidR="00574057" w:rsidRPr="00F96B46">
        <w:rPr>
          <w:rFonts w:cs="Arial"/>
          <w:b/>
          <w:szCs w:val="24"/>
        </w:rPr>
        <w:t xml:space="preserve"> územní </w:t>
      </w:r>
      <w:r w:rsidRPr="00F96B46">
        <w:rPr>
          <w:rFonts w:cs="Arial"/>
          <w:b/>
          <w:szCs w:val="24"/>
        </w:rPr>
        <w:t>diferenciace mezd zaměstnanců</w:t>
      </w:r>
      <w:r w:rsidR="0082066A">
        <w:rPr>
          <w:rFonts w:cs="Arial"/>
          <w:szCs w:val="24"/>
        </w:rPr>
        <w:t xml:space="preserve"> </w:t>
      </w:r>
      <w:r w:rsidRPr="00F96B46">
        <w:rPr>
          <w:rFonts w:cs="Arial"/>
          <w:szCs w:val="24"/>
        </w:rPr>
        <w:t>(na</w:t>
      </w:r>
      <w:r w:rsidR="0082066A">
        <w:rPr>
          <w:rFonts w:cs="Arial"/>
          <w:szCs w:val="24"/>
        </w:rPr>
        <w:t> </w:t>
      </w:r>
      <w:r w:rsidRPr="00F96B46">
        <w:rPr>
          <w:rFonts w:cs="Arial"/>
          <w:szCs w:val="24"/>
        </w:rPr>
        <w:t>makroúrovni),</w:t>
      </w:r>
    </w:p>
    <w:p w:rsidR="00494E2E" w:rsidRPr="00F96B46" w:rsidRDefault="00494E2E" w:rsidP="00F96B46">
      <w:pPr>
        <w:pStyle w:val="Odstavecseseznamem"/>
        <w:numPr>
          <w:ilvl w:val="0"/>
          <w:numId w:val="22"/>
        </w:numPr>
        <w:spacing w:after="200" w:line="360" w:lineRule="auto"/>
        <w:jc w:val="both"/>
        <w:rPr>
          <w:rFonts w:cs="Arial"/>
          <w:bCs/>
          <w:szCs w:val="24"/>
        </w:rPr>
      </w:pPr>
      <w:r w:rsidRPr="00F96B46">
        <w:rPr>
          <w:rFonts w:cs="Arial"/>
          <w:szCs w:val="24"/>
        </w:rPr>
        <w:t>v zásadě</w:t>
      </w:r>
      <w:r w:rsidRPr="00F96B46">
        <w:rPr>
          <w:rFonts w:cs="Arial"/>
          <w:b/>
          <w:szCs w:val="24"/>
        </w:rPr>
        <w:t xml:space="preserve"> stagnace mzdové diferenciace na úrovni jednotlivých zaměstnanců </w:t>
      </w:r>
      <w:r w:rsidRPr="00F96B46">
        <w:rPr>
          <w:rFonts w:cs="Arial"/>
          <w:szCs w:val="24"/>
        </w:rPr>
        <w:t>(na mikroúrovni)</w:t>
      </w:r>
      <w:r w:rsidRPr="00F96B46">
        <w:rPr>
          <w:rFonts w:cs="Arial"/>
          <w:bCs/>
          <w:szCs w:val="24"/>
        </w:rPr>
        <w:t>.</w:t>
      </w:r>
    </w:p>
    <w:p w:rsidR="00494E2E" w:rsidRPr="005C65DD" w:rsidRDefault="00494E2E" w:rsidP="00494E2E">
      <w:pPr>
        <w:jc w:val="both"/>
        <w:rPr>
          <w:rFonts w:cs="Arial"/>
          <w:szCs w:val="24"/>
        </w:rPr>
      </w:pPr>
    </w:p>
    <w:p w:rsidR="00494E2E" w:rsidRDefault="00F96B46" w:rsidP="00F96B46">
      <w:pPr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lastRenderedPageBreak/>
        <w:tab/>
      </w:r>
      <w:r w:rsidR="00494E2E" w:rsidRPr="005C65DD">
        <w:rPr>
          <w:rFonts w:cs="Arial"/>
          <w:b/>
          <w:bCs/>
        </w:rPr>
        <w:t xml:space="preserve">K nárůstu </w:t>
      </w:r>
      <w:r w:rsidR="00494E2E" w:rsidRPr="005C65DD">
        <w:rPr>
          <w:rFonts w:cs="Arial"/>
          <w:bCs/>
        </w:rPr>
        <w:t>průměrné</w:t>
      </w:r>
      <w:r w:rsidR="00494E2E" w:rsidRPr="005C65DD">
        <w:rPr>
          <w:rFonts w:cs="Arial"/>
          <w:b/>
          <w:bCs/>
        </w:rPr>
        <w:t xml:space="preserve"> reálné hodnoty mezd </w:t>
      </w:r>
      <w:r w:rsidR="00494E2E" w:rsidRPr="005C65DD">
        <w:rPr>
          <w:rFonts w:cs="Arial"/>
          <w:bCs/>
        </w:rPr>
        <w:t xml:space="preserve">došlo jak kumulovaně za celé </w:t>
      </w:r>
      <w:r w:rsidR="00494E2E">
        <w:rPr>
          <w:rFonts w:cs="Arial"/>
          <w:bCs/>
        </w:rPr>
        <w:t xml:space="preserve">první pololetí, tak i </w:t>
      </w:r>
      <w:r w:rsidR="00494E2E" w:rsidRPr="001235F1">
        <w:rPr>
          <w:rFonts w:cs="Arial"/>
          <w:bCs/>
        </w:rPr>
        <w:t>v samotném 1. čtvrtletí (o 2,2 %)</w:t>
      </w:r>
      <w:r w:rsidR="00494E2E">
        <w:rPr>
          <w:rFonts w:cs="Arial"/>
          <w:bCs/>
        </w:rPr>
        <w:t xml:space="preserve"> a</w:t>
      </w:r>
      <w:r w:rsidR="00494E2E" w:rsidRPr="001235F1">
        <w:rPr>
          <w:rFonts w:cs="Arial"/>
          <w:bCs/>
        </w:rPr>
        <w:t xml:space="preserve"> ve 2.</w:t>
      </w:r>
      <w:r w:rsidR="00494E2E">
        <w:rPr>
          <w:rFonts w:cs="Arial"/>
          <w:bCs/>
        </w:rPr>
        <w:t> </w:t>
      </w:r>
      <w:r w:rsidR="00494E2E" w:rsidRPr="001235F1">
        <w:rPr>
          <w:rFonts w:cs="Arial"/>
          <w:bCs/>
        </w:rPr>
        <w:t xml:space="preserve">čtvrtletí (o 2,7 %). </w:t>
      </w:r>
      <w:r w:rsidR="00494E2E" w:rsidRPr="000F002C">
        <w:rPr>
          <w:rFonts w:cs="Arial"/>
          <w:bCs/>
        </w:rPr>
        <w:t xml:space="preserve">Proti ještě intenzivnějšímu </w:t>
      </w:r>
      <w:r w:rsidR="00494E2E">
        <w:rPr>
          <w:rFonts w:cs="Arial"/>
          <w:bCs/>
        </w:rPr>
        <w:t>posílení kupní síly</w:t>
      </w:r>
      <w:r w:rsidR="00494E2E" w:rsidRPr="000F002C">
        <w:rPr>
          <w:rFonts w:cs="Arial"/>
          <w:bCs/>
        </w:rPr>
        <w:t xml:space="preserve"> mezd působila </w:t>
      </w:r>
      <w:r w:rsidR="00494E2E">
        <w:rPr>
          <w:rFonts w:cs="Arial"/>
          <w:bCs/>
        </w:rPr>
        <w:t>dvakrát větší</w:t>
      </w:r>
      <w:r w:rsidR="00494E2E" w:rsidRPr="000F002C">
        <w:rPr>
          <w:rFonts w:cs="Arial"/>
          <w:bCs/>
        </w:rPr>
        <w:t xml:space="preserve"> míra cenové inflace ve srovnání se stejným obdobím předchozího roku (podrobněji viz část</w:t>
      </w:r>
      <w:r>
        <w:rPr>
          <w:rFonts w:cs="Arial"/>
          <w:bCs/>
        </w:rPr>
        <w:t> </w:t>
      </w:r>
      <w:r w:rsidR="00494E2E" w:rsidRPr="000F002C">
        <w:rPr>
          <w:rFonts w:cs="Arial"/>
          <w:bCs/>
        </w:rPr>
        <w:t>2 materiálu).</w:t>
      </w:r>
      <w:r w:rsidR="00494E2E">
        <w:rPr>
          <w:rFonts w:cs="Arial"/>
          <w:bCs/>
        </w:rPr>
        <w:t xml:space="preserve"> </w:t>
      </w:r>
      <w:r w:rsidR="00494E2E" w:rsidRPr="001235F1">
        <w:rPr>
          <w:rFonts w:cs="Arial"/>
          <w:b/>
          <w:bCs/>
        </w:rPr>
        <w:t xml:space="preserve">Zvýšení průměrné reálné mzdy </w:t>
      </w:r>
      <w:r w:rsidR="00494E2E" w:rsidRPr="001235F1">
        <w:rPr>
          <w:rFonts w:cs="Arial"/>
          <w:bCs/>
        </w:rPr>
        <w:t>bylo v 1. pololetí zaznamenáno</w:t>
      </w:r>
      <w:r w:rsidR="00494E2E" w:rsidRPr="001235F1">
        <w:rPr>
          <w:rFonts w:cs="Arial"/>
          <w:b/>
          <w:bCs/>
        </w:rPr>
        <w:t xml:space="preserve"> v</w:t>
      </w:r>
      <w:r>
        <w:rPr>
          <w:rFonts w:cs="Arial"/>
          <w:b/>
          <w:bCs/>
        </w:rPr>
        <w:t> </w:t>
      </w:r>
      <w:r w:rsidR="00494E2E" w:rsidRPr="001235F1">
        <w:rPr>
          <w:rFonts w:cs="Arial"/>
          <w:b/>
          <w:bCs/>
        </w:rPr>
        <w:t>1</w:t>
      </w:r>
      <w:r w:rsidR="008C39D6">
        <w:rPr>
          <w:rFonts w:cs="Arial"/>
          <w:b/>
          <w:bCs/>
        </w:rPr>
        <w:t>6</w:t>
      </w:r>
      <w:r>
        <w:rPr>
          <w:rFonts w:cs="Arial"/>
          <w:b/>
          <w:bCs/>
        </w:rPr>
        <w:t> </w:t>
      </w:r>
      <w:r w:rsidR="00494E2E" w:rsidRPr="001235F1">
        <w:rPr>
          <w:rFonts w:cs="Arial"/>
          <w:b/>
          <w:bCs/>
        </w:rPr>
        <w:t>z</w:t>
      </w:r>
      <w:r w:rsidR="00494E2E">
        <w:rPr>
          <w:rFonts w:cs="Arial"/>
          <w:b/>
          <w:bCs/>
        </w:rPr>
        <w:t> </w:t>
      </w:r>
      <w:r w:rsidR="00494E2E" w:rsidRPr="001235F1">
        <w:rPr>
          <w:rFonts w:cs="Arial"/>
          <w:b/>
          <w:bCs/>
        </w:rPr>
        <w:t>19</w:t>
      </w:r>
      <w:r w:rsidR="00494E2E" w:rsidRPr="001235F1">
        <w:rPr>
          <w:rFonts w:cs="Arial"/>
        </w:rPr>
        <w:t xml:space="preserve"> sledovaných </w:t>
      </w:r>
      <w:r w:rsidR="00494E2E" w:rsidRPr="001235F1">
        <w:rPr>
          <w:rFonts w:cs="Arial"/>
          <w:b/>
          <w:bCs/>
        </w:rPr>
        <w:t>odvětvových agregacích CZ</w:t>
      </w:r>
      <w:r w:rsidR="00494E2E" w:rsidRPr="001235F1">
        <w:rPr>
          <w:rFonts w:cs="Arial"/>
          <w:b/>
          <w:bCs/>
        </w:rPr>
        <w:noBreakHyphen/>
        <w:t>NACE a</w:t>
      </w:r>
      <w:r w:rsidR="00494E2E">
        <w:rPr>
          <w:rFonts w:cs="Arial"/>
          <w:b/>
          <w:bCs/>
        </w:rPr>
        <w:t xml:space="preserve"> </w:t>
      </w:r>
      <w:r w:rsidR="00494E2E" w:rsidRPr="001235F1">
        <w:rPr>
          <w:rFonts w:cs="Arial"/>
          <w:b/>
          <w:bCs/>
        </w:rPr>
        <w:t>v regionálním členění ve všech 14 krajích</w:t>
      </w:r>
      <w:r w:rsidR="00494E2E" w:rsidRPr="001235F1">
        <w:rPr>
          <w:rFonts w:cs="Arial"/>
          <w:b/>
        </w:rPr>
        <w:t xml:space="preserve"> </w:t>
      </w:r>
      <w:r w:rsidR="00494E2E" w:rsidRPr="001235F1">
        <w:rPr>
          <w:rFonts w:cs="Arial"/>
        </w:rPr>
        <w:t>(viz dále).</w:t>
      </w:r>
    </w:p>
    <w:p w:rsidR="00F96B46" w:rsidRDefault="00F96B46" w:rsidP="00F96B46">
      <w:pPr>
        <w:spacing w:line="360" w:lineRule="auto"/>
        <w:jc w:val="both"/>
        <w:rPr>
          <w:rFonts w:cs="Arial"/>
        </w:rPr>
      </w:pPr>
    </w:p>
    <w:p w:rsidR="00494E2E" w:rsidRPr="00E27B2A" w:rsidRDefault="00F96B46" w:rsidP="00F96B46">
      <w:pPr>
        <w:spacing w:line="360" w:lineRule="auto"/>
        <w:jc w:val="both"/>
        <w:rPr>
          <w:rFonts w:eastAsia="Calibri" w:cs="Arial"/>
          <w:szCs w:val="24"/>
          <w:lang w:eastAsia="en-US"/>
        </w:rPr>
      </w:pPr>
      <w:r>
        <w:rPr>
          <w:rFonts w:cs="Arial"/>
        </w:rPr>
        <w:tab/>
      </w:r>
      <w:r w:rsidR="00494E2E" w:rsidRPr="00E27B2A">
        <w:rPr>
          <w:rFonts w:eastAsia="Calibri" w:cs="Arial"/>
          <w:b/>
          <w:szCs w:val="24"/>
          <w:lang w:eastAsia="en-US"/>
        </w:rPr>
        <w:t xml:space="preserve">Přírůstek kupní síly výdělků byl </w:t>
      </w:r>
      <w:r w:rsidR="00494E2E" w:rsidRPr="00E27B2A">
        <w:rPr>
          <w:rFonts w:eastAsia="Calibri" w:cs="Arial"/>
          <w:szCs w:val="24"/>
          <w:lang w:eastAsia="en-US"/>
        </w:rPr>
        <w:t xml:space="preserve">v hodnoceném období </w:t>
      </w:r>
      <w:r w:rsidR="00494E2E" w:rsidRPr="00E27B2A">
        <w:rPr>
          <w:rFonts w:eastAsia="Calibri" w:cs="Arial"/>
          <w:b/>
          <w:szCs w:val="24"/>
          <w:lang w:eastAsia="en-US"/>
        </w:rPr>
        <w:t>nižší než vykázaná dynamika produktivity práce.</w:t>
      </w:r>
      <w:r w:rsidR="00494E2E" w:rsidRPr="00E27B2A">
        <w:rPr>
          <w:rFonts w:eastAsia="Calibri" w:cs="Arial"/>
          <w:szCs w:val="24"/>
          <w:lang w:eastAsia="en-US"/>
        </w:rPr>
        <w:t xml:space="preserve"> Pokračovala tak tendence, která se projevila již v předchozím období. Dynamika úhrnné </w:t>
      </w:r>
      <w:r w:rsidR="00494E2E" w:rsidRPr="00E27B2A">
        <w:rPr>
          <w:rFonts w:eastAsia="Calibri" w:cs="Arial"/>
          <w:b/>
          <w:bCs/>
          <w:szCs w:val="24"/>
          <w:lang w:eastAsia="en-US"/>
        </w:rPr>
        <w:t xml:space="preserve">produktivity práce </w:t>
      </w:r>
      <w:r w:rsidR="00494E2E" w:rsidRPr="00E27B2A">
        <w:rPr>
          <w:rFonts w:eastAsia="Calibri" w:cs="Arial"/>
          <w:szCs w:val="24"/>
          <w:lang w:eastAsia="en-US"/>
        </w:rPr>
        <w:t>(v pojetí hrubého domácího produktu ve stálých cenách na 1 pracovníka v národním hospodářství)</w:t>
      </w:r>
      <w:r w:rsidR="00494E2E" w:rsidRPr="00E27B2A">
        <w:rPr>
          <w:rFonts w:eastAsia="Calibri" w:cs="Arial"/>
          <w:bCs/>
          <w:szCs w:val="24"/>
          <w:lang w:eastAsia="en-US"/>
        </w:rPr>
        <w:t xml:space="preserve"> </w:t>
      </w:r>
      <w:r w:rsidR="00494E2E" w:rsidRPr="00E27B2A">
        <w:rPr>
          <w:rFonts w:eastAsia="Calibri" w:cs="Arial"/>
          <w:b/>
          <w:bCs/>
          <w:szCs w:val="24"/>
          <w:lang w:eastAsia="en-US"/>
        </w:rPr>
        <w:t>vzrostla</w:t>
      </w:r>
      <w:r w:rsidR="00494E2E" w:rsidRPr="00E27B2A">
        <w:rPr>
          <w:rFonts w:eastAsia="Calibri" w:cs="Arial"/>
          <w:bCs/>
          <w:szCs w:val="24"/>
          <w:lang w:eastAsia="en-US"/>
        </w:rPr>
        <w:t xml:space="preserve"> ve sledovaném období meziročně </w:t>
      </w:r>
      <w:r w:rsidR="00494E2E" w:rsidRPr="00E27B2A">
        <w:rPr>
          <w:rFonts w:eastAsia="Calibri" w:cs="Arial"/>
          <w:b/>
          <w:bCs/>
          <w:szCs w:val="24"/>
          <w:lang w:eastAsia="en-US"/>
        </w:rPr>
        <w:t>o 3,0 %</w:t>
      </w:r>
      <w:r w:rsidR="00494E2E" w:rsidRPr="00E27B2A">
        <w:rPr>
          <w:rFonts w:eastAsia="Calibri" w:cs="Arial"/>
          <w:bCs/>
          <w:szCs w:val="24"/>
          <w:lang w:eastAsia="en-US"/>
        </w:rPr>
        <w:t xml:space="preserve"> a byla o 0,5 p. b. vyšší než činil nárůst průměrné reálné mzdy –</w:t>
      </w:r>
      <w:r w:rsidR="00494E2E" w:rsidRPr="00E27B2A">
        <w:rPr>
          <w:rFonts w:eastAsia="Calibri" w:cs="Arial"/>
          <w:szCs w:val="24"/>
          <w:lang w:eastAsia="en-US"/>
        </w:rPr>
        <w:t xml:space="preserve"> podrobný vývoj za jednotlivá čtvrtletí viz následující graf:</w:t>
      </w:r>
    </w:p>
    <w:p w:rsidR="00494E2E" w:rsidRPr="00E27B2A" w:rsidRDefault="00494E2E" w:rsidP="00494E2E">
      <w:pPr>
        <w:spacing w:line="360" w:lineRule="auto"/>
        <w:jc w:val="both"/>
        <w:rPr>
          <w:rFonts w:eastAsia="Calibri" w:cs="Arial"/>
          <w:szCs w:val="24"/>
          <w:lang w:eastAsia="en-US"/>
        </w:rPr>
      </w:pPr>
    </w:p>
    <w:p w:rsidR="00494E2E" w:rsidRDefault="00494E2E" w:rsidP="00494E2E">
      <w:pPr>
        <w:spacing w:line="360" w:lineRule="auto"/>
        <w:jc w:val="both"/>
        <w:rPr>
          <w:rFonts w:eastAsia="Calibri" w:cs="Arial"/>
          <w:szCs w:val="24"/>
          <w:lang w:eastAsia="en-US"/>
        </w:rPr>
      </w:pPr>
      <w:r w:rsidRPr="00E27B2A">
        <w:rPr>
          <w:rFonts w:eastAsia="Calibri" w:cs="Arial"/>
          <w:noProof/>
          <w:szCs w:val="24"/>
        </w:rPr>
        <w:drawing>
          <wp:inline distT="0" distB="0" distL="0" distR="0">
            <wp:extent cx="5715000" cy="37814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0" t="1559" r="794" b="1559"/>
                    <a:stretch/>
                  </pic:blipFill>
                  <pic:spPr bwMode="auto">
                    <a:xfrm>
                      <a:off x="0" y="0"/>
                      <a:ext cx="5712068" cy="37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6B46" w:rsidRPr="00F96B46" w:rsidRDefault="00F96B46" w:rsidP="00F96B46">
      <w:pPr>
        <w:spacing w:before="240"/>
        <w:jc w:val="both"/>
        <w:rPr>
          <w:rFonts w:cs="Arial"/>
          <w:sz w:val="20"/>
        </w:rPr>
      </w:pPr>
      <w:r w:rsidRPr="00F96B46">
        <w:rPr>
          <w:rFonts w:cs="Arial"/>
          <w:sz w:val="20"/>
        </w:rPr>
        <w:t>Zpracováno z dat ČSÚ</w:t>
      </w:r>
    </w:p>
    <w:p w:rsidR="00494E2E" w:rsidRDefault="00494E2E" w:rsidP="00494E2E">
      <w:pPr>
        <w:spacing w:line="360" w:lineRule="auto"/>
        <w:jc w:val="both"/>
        <w:rPr>
          <w:rFonts w:eastAsia="Calibri" w:cs="Arial"/>
          <w:szCs w:val="24"/>
          <w:lang w:eastAsia="en-US"/>
        </w:rPr>
      </w:pPr>
    </w:p>
    <w:p w:rsidR="00494E2E" w:rsidRDefault="00F96B46" w:rsidP="00F96B46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lastRenderedPageBreak/>
        <w:tab/>
      </w:r>
      <w:r w:rsidR="00494E2E" w:rsidRPr="00DD2D21">
        <w:rPr>
          <w:rFonts w:cs="Arial"/>
          <w:b/>
        </w:rPr>
        <w:t xml:space="preserve">Relace </w:t>
      </w:r>
      <w:r w:rsidR="00494E2E" w:rsidRPr="00DD2D21">
        <w:rPr>
          <w:rFonts w:cs="Arial"/>
        </w:rPr>
        <w:t>produktivity práce a mezd</w:t>
      </w:r>
      <w:r w:rsidR="00494E2E" w:rsidRPr="00DD2D21">
        <w:rPr>
          <w:rFonts w:cs="Arial"/>
          <w:b/>
        </w:rPr>
        <w:t xml:space="preserve"> se příznivě promítla do </w:t>
      </w:r>
      <w:r w:rsidR="00494E2E" w:rsidRPr="00DD2D21">
        <w:rPr>
          <w:rFonts w:cs="Arial"/>
          <w:b/>
          <w:bCs/>
        </w:rPr>
        <w:t>vývoje jednotkových mzdových nákladů</w:t>
      </w:r>
      <w:r>
        <w:rPr>
          <w:rFonts w:cs="Arial"/>
          <w:b/>
          <w:bCs/>
        </w:rPr>
        <w:t>,</w:t>
      </w:r>
      <w:r w:rsidR="00494E2E" w:rsidRPr="00DD2D21">
        <w:rPr>
          <w:rFonts w:cs="Arial"/>
          <w:bCs/>
        </w:rPr>
        <w:t xml:space="preserve"> </w:t>
      </w:r>
      <w:r w:rsidR="00494E2E" w:rsidRPr="00DD2D21">
        <w:rPr>
          <w:rFonts w:cs="Arial"/>
        </w:rPr>
        <w:t xml:space="preserve">které v meziročním pohledu za leden – červen </w:t>
      </w:r>
      <w:r w:rsidR="00494E2E" w:rsidRPr="00DD2D21">
        <w:rPr>
          <w:rFonts w:cs="Arial"/>
          <w:b/>
          <w:bCs/>
        </w:rPr>
        <w:t xml:space="preserve">nominálně poklesly o 0,1 % a reálně o 0,5 %. Nárůst mezd </w:t>
      </w:r>
      <w:r w:rsidR="00494E2E">
        <w:rPr>
          <w:rFonts w:cs="Arial"/>
          <w:b/>
          <w:bCs/>
        </w:rPr>
        <w:t xml:space="preserve">tak </w:t>
      </w:r>
      <w:r w:rsidR="00494E2E" w:rsidRPr="00DD2D21">
        <w:rPr>
          <w:rFonts w:cs="Arial"/>
          <w:b/>
          <w:bCs/>
        </w:rPr>
        <w:t>nepředstavoval</w:t>
      </w:r>
      <w:r w:rsidR="00494E2E" w:rsidRPr="00DD2D21">
        <w:rPr>
          <w:rFonts w:cs="Arial"/>
          <w:bCs/>
        </w:rPr>
        <w:t xml:space="preserve"> </w:t>
      </w:r>
      <w:r w:rsidR="00494E2E" w:rsidRPr="00DD2D21">
        <w:rPr>
          <w:rFonts w:cs="Arial"/>
          <w:b/>
          <w:bCs/>
        </w:rPr>
        <w:t>riziko</w:t>
      </w:r>
      <w:r w:rsidR="00494E2E" w:rsidRPr="00DD2D21">
        <w:rPr>
          <w:rFonts w:cs="Arial"/>
        </w:rPr>
        <w:t xml:space="preserve"> </w:t>
      </w:r>
      <w:r w:rsidR="00494E2E" w:rsidRPr="00DD2D21">
        <w:rPr>
          <w:rFonts w:cs="Arial"/>
          <w:bCs/>
        </w:rPr>
        <w:t>z pohledu</w:t>
      </w:r>
      <w:r w:rsidR="00494E2E" w:rsidRPr="00DD2D21">
        <w:rPr>
          <w:rFonts w:cs="Arial"/>
          <w:b/>
          <w:bCs/>
        </w:rPr>
        <w:t xml:space="preserve"> udržení</w:t>
      </w:r>
      <w:r w:rsidR="00494E2E" w:rsidRPr="00DD2D21">
        <w:rPr>
          <w:rFonts w:cs="Arial"/>
          <w:b/>
        </w:rPr>
        <w:t xml:space="preserve"> </w:t>
      </w:r>
      <w:r w:rsidR="00494E2E" w:rsidRPr="00DD2D21">
        <w:rPr>
          <w:rFonts w:cs="Arial"/>
          <w:b/>
          <w:bCs/>
        </w:rPr>
        <w:t>konkurenceschopnosti tuzemské produkce.</w:t>
      </w:r>
    </w:p>
    <w:p w:rsidR="00F96B46" w:rsidRDefault="00F96B46" w:rsidP="00F96B46">
      <w:pPr>
        <w:spacing w:line="360" w:lineRule="auto"/>
        <w:jc w:val="both"/>
        <w:rPr>
          <w:rFonts w:cs="Arial"/>
          <w:b/>
          <w:bCs/>
        </w:rPr>
      </w:pPr>
    </w:p>
    <w:p w:rsidR="00494E2E" w:rsidRPr="00DD2D21" w:rsidRDefault="00F96B46" w:rsidP="00F96B46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  <w:bCs/>
        </w:rPr>
        <w:tab/>
      </w:r>
      <w:r w:rsidR="00494E2E" w:rsidRPr="00DD2D21">
        <w:rPr>
          <w:rFonts w:cs="Arial"/>
          <w:b/>
          <w:bCs/>
        </w:rPr>
        <w:t xml:space="preserve">Reálná hodnota objemu mzdových prostředků </w:t>
      </w:r>
      <w:r w:rsidR="00494E2E" w:rsidRPr="00DD2D21">
        <w:rPr>
          <w:rFonts w:cs="Arial"/>
        </w:rPr>
        <w:t xml:space="preserve">zúčtovaných k výplatě </w:t>
      </w:r>
      <w:r w:rsidR="00494E2E" w:rsidRPr="00DD2D21">
        <w:rPr>
          <w:rFonts w:cs="Arial"/>
          <w:b/>
          <w:bCs/>
        </w:rPr>
        <w:t xml:space="preserve">vzrostla </w:t>
      </w:r>
      <w:r w:rsidR="00494E2E" w:rsidRPr="00DD2D21">
        <w:rPr>
          <w:rFonts w:cs="Arial"/>
        </w:rPr>
        <w:t>oproti 1. pololetí 2014</w:t>
      </w:r>
      <w:r w:rsidR="00494E2E" w:rsidRPr="00DD2D21">
        <w:rPr>
          <w:rFonts w:cs="Arial"/>
          <w:b/>
          <w:bCs/>
        </w:rPr>
        <w:t xml:space="preserve"> o 4,5 %; mzdová náročnost HDP</w:t>
      </w:r>
      <w:r w:rsidR="00494E2E" w:rsidRPr="00DD2D21">
        <w:rPr>
          <w:rFonts w:cs="Arial"/>
        </w:rPr>
        <w:t xml:space="preserve"> (relace objemu mzdových prostředků k objemu hrubého domácího produktu v běžných cenách) se ve stejném porovnání </w:t>
      </w:r>
      <w:r w:rsidR="00494E2E" w:rsidRPr="00DD2D21">
        <w:rPr>
          <w:rFonts w:cs="Arial"/>
          <w:b/>
        </w:rPr>
        <w:t xml:space="preserve">snížila </w:t>
      </w:r>
      <w:r w:rsidR="00494E2E" w:rsidRPr="00DD2D21">
        <w:rPr>
          <w:rFonts w:cs="Arial"/>
        </w:rPr>
        <w:t xml:space="preserve">(o 0,1 p. b.) </w:t>
      </w:r>
      <w:r w:rsidR="00494E2E" w:rsidRPr="00DD2D21">
        <w:rPr>
          <w:rFonts w:cs="Arial"/>
          <w:b/>
        </w:rPr>
        <w:t>na 26,6 %.</w:t>
      </w:r>
    </w:p>
    <w:p w:rsidR="00494E2E" w:rsidRDefault="00494E2E" w:rsidP="00494E2E">
      <w:pPr>
        <w:spacing w:line="360" w:lineRule="auto"/>
        <w:jc w:val="both"/>
        <w:rPr>
          <w:rFonts w:cs="Arial"/>
        </w:rPr>
      </w:pPr>
    </w:p>
    <w:p w:rsidR="00F96B46" w:rsidRPr="00DD2D21" w:rsidRDefault="00F96B46" w:rsidP="00494E2E">
      <w:pPr>
        <w:spacing w:line="360" w:lineRule="auto"/>
        <w:jc w:val="both"/>
        <w:rPr>
          <w:rFonts w:cs="Arial"/>
        </w:rPr>
      </w:pPr>
    </w:p>
    <w:p w:rsidR="00494E2E" w:rsidRPr="00E77CE0" w:rsidRDefault="00494E2E" w:rsidP="00F96B46">
      <w:pPr>
        <w:ind w:left="708"/>
        <w:jc w:val="both"/>
        <w:rPr>
          <w:rFonts w:cs="Arial"/>
          <w:bCs/>
        </w:rPr>
      </w:pPr>
      <w:r w:rsidRPr="00DD2D21">
        <w:rPr>
          <w:rFonts w:cs="Arial"/>
        </w:rPr>
        <w:t xml:space="preserve">Část mezd, které svým zaměstnancům dlužili insolventní zaměstnavatelé v režimu konkurzního řízení, jim byla vyplacena Úřadem práce ČR </w:t>
      </w:r>
      <w:r w:rsidRPr="00DD2D21">
        <w:rPr>
          <w:rFonts w:cs="Arial"/>
          <w:b/>
          <w:bCs/>
        </w:rPr>
        <w:t>na základě</w:t>
      </w:r>
      <w:r w:rsidR="00F96B46">
        <w:rPr>
          <w:rFonts w:cs="Arial"/>
          <w:b/>
          <w:bCs/>
        </w:rPr>
        <w:t> </w:t>
      </w:r>
      <w:r w:rsidRPr="00DD2D21">
        <w:rPr>
          <w:rFonts w:cs="Arial"/>
          <w:b/>
          <w:bCs/>
        </w:rPr>
        <w:t xml:space="preserve">zákona </w:t>
      </w:r>
      <w:r w:rsidRPr="00DD2D21">
        <w:rPr>
          <w:rFonts w:cs="Arial"/>
        </w:rPr>
        <w:t xml:space="preserve">č. 118/2000 Sb., </w:t>
      </w:r>
      <w:r w:rsidRPr="00DD2D21">
        <w:rPr>
          <w:rFonts w:cs="Arial"/>
          <w:b/>
          <w:bCs/>
        </w:rPr>
        <w:t xml:space="preserve">o ochraně zaměstnanců při platební neschopnosti zaměstnavatele </w:t>
      </w:r>
      <w:r w:rsidRPr="00DD2D21">
        <w:rPr>
          <w:rFonts w:cs="Arial"/>
        </w:rPr>
        <w:t xml:space="preserve">a o změně některých zákonů, ve </w:t>
      </w:r>
      <w:r w:rsidRPr="00E77CE0">
        <w:rPr>
          <w:rFonts w:cs="Arial"/>
        </w:rPr>
        <w:t>znění pozdějších předpisů.</w:t>
      </w:r>
      <w:r w:rsidRPr="00E77CE0">
        <w:rPr>
          <w:rFonts w:cs="Arial"/>
          <w:b/>
          <w:bCs/>
        </w:rPr>
        <w:t xml:space="preserve"> </w:t>
      </w:r>
      <w:r w:rsidRPr="00E77CE0">
        <w:rPr>
          <w:rFonts w:cs="Arial"/>
          <w:bCs/>
        </w:rPr>
        <w:t xml:space="preserve">Celkem bylo takto </w:t>
      </w:r>
      <w:r w:rsidRPr="00E77CE0">
        <w:rPr>
          <w:rFonts w:cs="Arial"/>
          <w:b/>
        </w:rPr>
        <w:t>k 30. 6. 201</w:t>
      </w:r>
      <w:r>
        <w:rPr>
          <w:rFonts w:cs="Arial"/>
          <w:b/>
        </w:rPr>
        <w:t>5</w:t>
      </w:r>
      <w:r w:rsidRPr="00E77CE0">
        <w:rPr>
          <w:rFonts w:cs="Arial"/>
          <w:b/>
        </w:rPr>
        <w:t xml:space="preserve"> poskytnuto 1</w:t>
      </w:r>
      <w:r>
        <w:rPr>
          <w:rFonts w:cs="Arial"/>
          <w:b/>
        </w:rPr>
        <w:t>34</w:t>
      </w:r>
      <w:r w:rsidRPr="00E77CE0">
        <w:rPr>
          <w:rFonts w:cs="Arial"/>
          <w:b/>
        </w:rPr>
        <w:t xml:space="preserve">,6 mil. Kč </w:t>
      </w:r>
      <w:r w:rsidRPr="00E77CE0">
        <w:rPr>
          <w:rFonts w:cs="Arial"/>
          <w:bCs/>
        </w:rPr>
        <w:t>(o </w:t>
      </w:r>
      <w:r>
        <w:rPr>
          <w:rFonts w:cs="Arial"/>
          <w:bCs/>
        </w:rPr>
        <w:t>76</w:t>
      </w:r>
      <w:r w:rsidRPr="00E77CE0">
        <w:rPr>
          <w:rFonts w:cs="Arial"/>
          <w:bCs/>
        </w:rPr>
        <w:t>,</w:t>
      </w:r>
      <w:r>
        <w:rPr>
          <w:rFonts w:cs="Arial"/>
          <w:bCs/>
        </w:rPr>
        <w:t>5</w:t>
      </w:r>
      <w:r w:rsidRPr="00E77CE0">
        <w:rPr>
          <w:rFonts w:cs="Arial"/>
          <w:bCs/>
        </w:rPr>
        <w:t> mil. Kč méně než v 1. </w:t>
      </w:r>
      <w:r w:rsidRPr="00E77CE0">
        <w:rPr>
          <w:rFonts w:cs="Arial"/>
        </w:rPr>
        <w:t xml:space="preserve">pololetí </w:t>
      </w:r>
      <w:r w:rsidRPr="00E77CE0">
        <w:rPr>
          <w:rFonts w:cs="Arial"/>
          <w:bCs/>
        </w:rPr>
        <w:t>201</w:t>
      </w:r>
      <w:r>
        <w:rPr>
          <w:rFonts w:cs="Arial"/>
          <w:bCs/>
        </w:rPr>
        <w:t>4</w:t>
      </w:r>
      <w:r w:rsidRPr="00E77CE0">
        <w:rPr>
          <w:rFonts w:cs="Arial"/>
          <w:bCs/>
        </w:rPr>
        <w:t>), z toho nejvíce v kraji hl. m. Praha (3</w:t>
      </w:r>
      <w:r>
        <w:rPr>
          <w:rFonts w:cs="Arial"/>
          <w:bCs/>
        </w:rPr>
        <w:t>9</w:t>
      </w:r>
      <w:r w:rsidRPr="00E77CE0">
        <w:rPr>
          <w:rFonts w:cs="Arial"/>
          <w:bCs/>
        </w:rPr>
        <w:t>,</w:t>
      </w:r>
      <w:r>
        <w:rPr>
          <w:rFonts w:cs="Arial"/>
          <w:bCs/>
        </w:rPr>
        <w:t>2</w:t>
      </w:r>
      <w:r w:rsidRPr="00E77CE0">
        <w:rPr>
          <w:rFonts w:cs="Arial"/>
          <w:bCs/>
        </w:rPr>
        <w:t> mil. Kč), v Jihomoravském kraji (</w:t>
      </w:r>
      <w:r>
        <w:rPr>
          <w:rFonts w:cs="Arial"/>
          <w:bCs/>
        </w:rPr>
        <w:t>2</w:t>
      </w:r>
      <w:r w:rsidRPr="00E77CE0">
        <w:rPr>
          <w:rFonts w:cs="Arial"/>
          <w:bCs/>
        </w:rPr>
        <w:t>8,</w:t>
      </w:r>
      <w:r>
        <w:rPr>
          <w:rFonts w:cs="Arial"/>
          <w:bCs/>
        </w:rPr>
        <w:t>0</w:t>
      </w:r>
      <w:r w:rsidRPr="00E77CE0">
        <w:rPr>
          <w:rFonts w:cs="Arial"/>
          <w:bCs/>
        </w:rPr>
        <w:t> mil.</w:t>
      </w:r>
      <w:r>
        <w:rPr>
          <w:rFonts w:cs="Arial"/>
          <w:bCs/>
        </w:rPr>
        <w:t> </w:t>
      </w:r>
      <w:r w:rsidRPr="00E77CE0">
        <w:rPr>
          <w:rFonts w:cs="Arial"/>
          <w:bCs/>
        </w:rPr>
        <w:t>Kč) a </w:t>
      </w:r>
      <w:r>
        <w:rPr>
          <w:rFonts w:cs="Arial"/>
          <w:bCs/>
        </w:rPr>
        <w:t>Plzeň</w:t>
      </w:r>
      <w:r w:rsidRPr="00E77CE0">
        <w:rPr>
          <w:rFonts w:cs="Arial"/>
          <w:bCs/>
        </w:rPr>
        <w:t>ském kraji (1</w:t>
      </w:r>
      <w:r>
        <w:rPr>
          <w:rFonts w:cs="Arial"/>
          <w:bCs/>
        </w:rPr>
        <w:t>2</w:t>
      </w:r>
      <w:r w:rsidRPr="00E77CE0">
        <w:rPr>
          <w:rFonts w:cs="Arial"/>
          <w:bCs/>
        </w:rPr>
        <w:t>,</w:t>
      </w:r>
      <w:r>
        <w:rPr>
          <w:rFonts w:cs="Arial"/>
          <w:bCs/>
        </w:rPr>
        <w:t>7</w:t>
      </w:r>
      <w:r w:rsidRPr="00E77CE0">
        <w:rPr>
          <w:rFonts w:cs="Arial"/>
          <w:bCs/>
        </w:rPr>
        <w:t> mil. Kč).</w:t>
      </w:r>
    </w:p>
    <w:p w:rsidR="00494E2E" w:rsidRDefault="00494E2E" w:rsidP="00494E2E">
      <w:pPr>
        <w:spacing w:line="360" w:lineRule="auto"/>
        <w:jc w:val="both"/>
        <w:rPr>
          <w:rFonts w:cs="Arial"/>
          <w:bCs/>
        </w:rPr>
      </w:pPr>
    </w:p>
    <w:p w:rsidR="00F96B46" w:rsidRDefault="00F96B46" w:rsidP="00494E2E">
      <w:pPr>
        <w:spacing w:line="360" w:lineRule="auto"/>
        <w:jc w:val="both"/>
        <w:rPr>
          <w:rFonts w:cs="Arial"/>
          <w:bCs/>
        </w:rPr>
      </w:pPr>
    </w:p>
    <w:p w:rsidR="00494E2E" w:rsidRPr="00560452" w:rsidRDefault="00F96B46" w:rsidP="00F96B46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="00494E2E" w:rsidRPr="00560452">
        <w:rPr>
          <w:rFonts w:cs="Arial"/>
          <w:bCs/>
        </w:rPr>
        <w:t xml:space="preserve">Meziroční </w:t>
      </w:r>
      <w:r w:rsidR="00494E2E" w:rsidRPr="00560452">
        <w:rPr>
          <w:rFonts w:cs="Arial"/>
          <w:b/>
        </w:rPr>
        <w:t xml:space="preserve">nárůst průměrného </w:t>
      </w:r>
      <w:r w:rsidR="00494E2E" w:rsidRPr="00560452">
        <w:rPr>
          <w:rFonts w:cs="Arial"/>
          <w:b/>
          <w:bCs/>
        </w:rPr>
        <w:t>nominálního</w:t>
      </w:r>
      <w:r w:rsidR="00494E2E" w:rsidRPr="00560452">
        <w:rPr>
          <w:rFonts w:cs="Arial"/>
          <w:b/>
        </w:rPr>
        <w:t xml:space="preserve"> výdělku v rámci nepodnikatelské sféry </w:t>
      </w:r>
      <w:r w:rsidR="00494E2E" w:rsidRPr="00560452">
        <w:rPr>
          <w:rFonts w:cs="Arial"/>
        </w:rPr>
        <w:t>byl zaznamenán ve všech</w:t>
      </w:r>
      <w:r w:rsidR="00494E2E" w:rsidRPr="00560452">
        <w:rPr>
          <w:rFonts w:cs="Arial"/>
          <w:b/>
        </w:rPr>
        <w:t xml:space="preserve"> odvětvích.</w:t>
      </w:r>
      <w:r w:rsidR="00494E2E" w:rsidRPr="00560452">
        <w:rPr>
          <w:rFonts w:cs="Arial"/>
        </w:rPr>
        <w:t xml:space="preserve"> K nadprůměrnému zvýšení průměrného platu došlo v odvětví</w:t>
      </w:r>
      <w:r w:rsidR="00494E2E" w:rsidRPr="00560452">
        <w:rPr>
          <w:rFonts w:cs="Arial"/>
          <w:b/>
        </w:rPr>
        <w:t xml:space="preserve"> „</w:t>
      </w:r>
      <w:r w:rsidR="00494E2E">
        <w:rPr>
          <w:rFonts w:cs="Arial"/>
          <w:b/>
        </w:rPr>
        <w:t>zdravotní a sociální péče</w:t>
      </w:r>
      <w:r w:rsidR="00494E2E" w:rsidRPr="00560452">
        <w:rPr>
          <w:rFonts w:cs="Arial"/>
          <w:b/>
        </w:rPr>
        <w:t xml:space="preserve">“ </w:t>
      </w:r>
      <w:r w:rsidR="00494E2E" w:rsidRPr="00560452">
        <w:rPr>
          <w:rFonts w:cs="Arial"/>
          <w:bCs/>
        </w:rPr>
        <w:t>(</w:t>
      </w:r>
      <w:r w:rsidR="00494E2E">
        <w:rPr>
          <w:rFonts w:cs="Arial"/>
          <w:bCs/>
        </w:rPr>
        <w:t>o 4</w:t>
      </w:r>
      <w:r w:rsidR="00494E2E" w:rsidRPr="00560452">
        <w:rPr>
          <w:rFonts w:cs="Arial"/>
          <w:bCs/>
        </w:rPr>
        <w:t>,</w:t>
      </w:r>
      <w:r w:rsidR="00494E2E">
        <w:rPr>
          <w:rFonts w:cs="Arial"/>
          <w:bCs/>
        </w:rPr>
        <w:t>6</w:t>
      </w:r>
      <w:r w:rsidR="00494E2E" w:rsidRPr="00560452">
        <w:rPr>
          <w:rFonts w:cs="Arial"/>
          <w:bCs/>
        </w:rPr>
        <w:t> %) a</w:t>
      </w:r>
      <w:r w:rsidR="00494E2E">
        <w:rPr>
          <w:rFonts w:cs="Arial"/>
          <w:bCs/>
        </w:rPr>
        <w:t> </w:t>
      </w:r>
      <w:r w:rsidR="00494E2E" w:rsidRPr="00560452">
        <w:rPr>
          <w:rFonts w:cs="Arial"/>
          <w:bCs/>
        </w:rPr>
        <w:t>v</w:t>
      </w:r>
      <w:r w:rsidR="00494E2E">
        <w:rPr>
          <w:rFonts w:cs="Arial"/>
          <w:bCs/>
        </w:rPr>
        <w:t> </w:t>
      </w:r>
      <w:r w:rsidR="00494E2E" w:rsidRPr="00560452">
        <w:rPr>
          <w:rFonts w:cs="Arial"/>
          <w:bCs/>
        </w:rPr>
        <w:t xml:space="preserve">odvětví </w:t>
      </w:r>
      <w:r w:rsidR="00494E2E" w:rsidRPr="00560452">
        <w:rPr>
          <w:rFonts w:cs="Arial"/>
          <w:b/>
          <w:bCs/>
        </w:rPr>
        <w:t>„v</w:t>
      </w:r>
      <w:r w:rsidR="00494E2E">
        <w:rPr>
          <w:rFonts w:cs="Arial"/>
          <w:b/>
          <w:bCs/>
        </w:rPr>
        <w:t>eřejná správa, obrana, sociální zabezpečení</w:t>
      </w:r>
      <w:r w:rsidR="00494E2E" w:rsidRPr="00560452">
        <w:rPr>
          <w:rFonts w:cs="Arial"/>
          <w:b/>
          <w:bCs/>
        </w:rPr>
        <w:t>“</w:t>
      </w:r>
      <w:r w:rsidR="00494E2E" w:rsidRPr="00560452">
        <w:rPr>
          <w:rFonts w:cs="Arial"/>
          <w:bCs/>
        </w:rPr>
        <w:t xml:space="preserve"> (</w:t>
      </w:r>
      <w:r w:rsidR="00494E2E">
        <w:rPr>
          <w:rFonts w:cs="Arial"/>
          <w:bCs/>
        </w:rPr>
        <w:t>o 4</w:t>
      </w:r>
      <w:r w:rsidR="00494E2E" w:rsidRPr="00560452">
        <w:rPr>
          <w:rFonts w:cs="Arial"/>
          <w:bCs/>
        </w:rPr>
        <w:t>,</w:t>
      </w:r>
      <w:r w:rsidR="00494E2E">
        <w:rPr>
          <w:rFonts w:cs="Arial"/>
          <w:bCs/>
        </w:rPr>
        <w:t>4</w:t>
      </w:r>
      <w:r w:rsidR="00494E2E" w:rsidRPr="00560452">
        <w:rPr>
          <w:rFonts w:cs="Arial"/>
          <w:bCs/>
        </w:rPr>
        <w:t xml:space="preserve"> %). V rámci odvětví </w:t>
      </w:r>
      <w:r w:rsidR="00494E2E" w:rsidRPr="009F6D3F">
        <w:rPr>
          <w:rFonts w:cs="Arial"/>
          <w:bCs/>
        </w:rPr>
        <w:t>„zdravotní a sociální péče“</w:t>
      </w:r>
      <w:r w:rsidR="00494E2E">
        <w:rPr>
          <w:rFonts w:cs="Arial"/>
          <w:bCs/>
        </w:rPr>
        <w:t xml:space="preserve"> však </w:t>
      </w:r>
      <w:r w:rsidR="00494E2E" w:rsidRPr="00560452">
        <w:rPr>
          <w:rFonts w:cs="Arial"/>
          <w:bCs/>
        </w:rPr>
        <w:t>došlo k</w:t>
      </w:r>
      <w:r w:rsidR="00494E2E" w:rsidRPr="00D9096B">
        <w:rPr>
          <w:rFonts w:cs="Arial"/>
          <w:bCs/>
        </w:rPr>
        <w:t xml:space="preserve"> rozdílnému vývoj</w:t>
      </w:r>
      <w:r w:rsidR="00494E2E" w:rsidRPr="00C6603F">
        <w:rPr>
          <w:rFonts w:cs="Arial"/>
          <w:bCs/>
        </w:rPr>
        <w:t xml:space="preserve">i platů, zatímco </w:t>
      </w:r>
      <w:r w:rsidR="00494E2E" w:rsidRPr="00C6603F">
        <w:rPr>
          <w:rFonts w:cs="Arial"/>
          <w:b/>
          <w:bCs/>
        </w:rPr>
        <w:t>v oblasti zdravotní péče průměrný plat vzrost</w:t>
      </w:r>
      <w:r w:rsidR="00494E2E">
        <w:rPr>
          <w:rFonts w:cs="Arial"/>
          <w:b/>
          <w:bCs/>
        </w:rPr>
        <w:t>l</w:t>
      </w:r>
      <w:r w:rsidR="00494E2E" w:rsidRPr="00C6603F">
        <w:rPr>
          <w:rFonts w:cs="Arial"/>
          <w:b/>
          <w:bCs/>
        </w:rPr>
        <w:t xml:space="preserve"> výrazněji </w:t>
      </w:r>
      <w:r w:rsidR="00494E2E" w:rsidRPr="00C6603F">
        <w:rPr>
          <w:rFonts w:cs="Arial"/>
          <w:bCs/>
        </w:rPr>
        <w:t xml:space="preserve">(o 5,0 %), </w:t>
      </w:r>
      <w:r w:rsidR="00494E2E" w:rsidRPr="00C6603F">
        <w:rPr>
          <w:rFonts w:cs="Arial"/>
          <w:b/>
          <w:bCs/>
        </w:rPr>
        <w:t>v oblasti sociální péče byl</w:t>
      </w:r>
      <w:r w:rsidR="00494E2E">
        <w:rPr>
          <w:rFonts w:cs="Arial"/>
          <w:b/>
          <w:bCs/>
        </w:rPr>
        <w:t>o</w:t>
      </w:r>
      <w:r w:rsidR="00494E2E" w:rsidRPr="00C6603F">
        <w:rPr>
          <w:rFonts w:cs="Arial"/>
          <w:b/>
          <w:bCs/>
        </w:rPr>
        <w:t xml:space="preserve"> jeho </w:t>
      </w:r>
      <w:r w:rsidR="00494E2E">
        <w:rPr>
          <w:rFonts w:cs="Arial"/>
          <w:b/>
          <w:bCs/>
        </w:rPr>
        <w:t>zvýšení</w:t>
      </w:r>
      <w:r w:rsidR="00494E2E" w:rsidRPr="00C6603F">
        <w:rPr>
          <w:rFonts w:cs="Arial"/>
          <w:bCs/>
        </w:rPr>
        <w:t xml:space="preserve"> o cca 1,</w:t>
      </w:r>
      <w:r w:rsidR="00494E2E">
        <w:rPr>
          <w:rFonts w:cs="Arial"/>
          <w:bCs/>
        </w:rPr>
        <w:t>5</w:t>
      </w:r>
      <w:r w:rsidR="00494E2E" w:rsidRPr="00C6603F">
        <w:rPr>
          <w:rFonts w:cs="Arial"/>
          <w:bCs/>
        </w:rPr>
        <w:t xml:space="preserve"> p. b. </w:t>
      </w:r>
      <w:r w:rsidR="00494E2E" w:rsidRPr="00C6603F">
        <w:rPr>
          <w:rFonts w:cs="Arial"/>
          <w:b/>
          <w:bCs/>
        </w:rPr>
        <w:t>nižší</w:t>
      </w:r>
      <w:r w:rsidR="00494E2E" w:rsidRPr="00C6603F">
        <w:rPr>
          <w:rFonts w:cs="Arial"/>
          <w:bCs/>
        </w:rPr>
        <w:t xml:space="preserve"> </w:t>
      </w:r>
      <w:r w:rsidR="00494E2E">
        <w:rPr>
          <w:rFonts w:cs="Arial"/>
          <w:bCs/>
        </w:rPr>
        <w:t>(</w:t>
      </w:r>
      <w:r w:rsidR="00494E2E" w:rsidRPr="00C6603F">
        <w:rPr>
          <w:rFonts w:cs="Arial"/>
          <w:bCs/>
        </w:rPr>
        <w:t>dosáhl</w:t>
      </w:r>
      <w:r w:rsidR="00494E2E">
        <w:rPr>
          <w:rFonts w:cs="Arial"/>
          <w:bCs/>
        </w:rPr>
        <w:t>o</w:t>
      </w:r>
      <w:r w:rsidR="00494E2E" w:rsidRPr="00C6603F">
        <w:rPr>
          <w:rFonts w:cs="Arial"/>
          <w:bCs/>
        </w:rPr>
        <w:t xml:space="preserve"> 3,5 %</w:t>
      </w:r>
      <w:r w:rsidR="00494E2E">
        <w:rPr>
          <w:rFonts w:cs="Arial"/>
          <w:bCs/>
        </w:rPr>
        <w:t>)</w:t>
      </w:r>
      <w:r w:rsidR="00494E2E" w:rsidRPr="00C6603F">
        <w:rPr>
          <w:rFonts w:cs="Arial"/>
          <w:bCs/>
        </w:rPr>
        <w:t>.</w:t>
      </w:r>
      <w:r w:rsidR="00494E2E" w:rsidRPr="00746243">
        <w:rPr>
          <w:rFonts w:cs="Arial"/>
          <w:bCs/>
        </w:rPr>
        <w:t xml:space="preserve"> </w:t>
      </w:r>
      <w:r w:rsidR="00494E2E" w:rsidRPr="003B6917">
        <w:rPr>
          <w:rFonts w:cs="Arial"/>
          <w:bCs/>
        </w:rPr>
        <w:t>Nejnižší nárůst</w:t>
      </w:r>
      <w:r w:rsidR="00494E2E">
        <w:rPr>
          <w:rFonts w:cs="Arial"/>
          <w:bCs/>
        </w:rPr>
        <w:t xml:space="preserve"> </w:t>
      </w:r>
      <w:r w:rsidR="00494E2E" w:rsidRPr="003B6917">
        <w:rPr>
          <w:rFonts w:cs="Arial"/>
          <w:bCs/>
        </w:rPr>
        <w:t xml:space="preserve">vykázalo odvětví </w:t>
      </w:r>
      <w:r w:rsidR="00494E2E" w:rsidRPr="003B6917">
        <w:rPr>
          <w:rFonts w:cs="Arial"/>
          <w:b/>
          <w:bCs/>
        </w:rPr>
        <w:t>„vzdělávání“</w:t>
      </w:r>
      <w:r w:rsidR="00494E2E" w:rsidRPr="003B6917">
        <w:rPr>
          <w:rFonts w:cs="Arial"/>
          <w:bCs/>
        </w:rPr>
        <w:t xml:space="preserve"> (o 2,3 %). </w:t>
      </w:r>
      <w:r w:rsidR="00494E2E">
        <w:rPr>
          <w:rFonts w:cs="Arial"/>
          <w:bCs/>
        </w:rPr>
        <w:t>Také v</w:t>
      </w:r>
      <w:r w:rsidR="00494E2E" w:rsidRPr="003B6917">
        <w:rPr>
          <w:rFonts w:cs="Arial"/>
          <w:bCs/>
        </w:rPr>
        <w:t>ývoj průměrného platu v rámci tohoto odvětví nebyl rovnoměrný.</w:t>
      </w:r>
      <w:r w:rsidR="00494E2E" w:rsidRPr="003B6917">
        <w:rPr>
          <w:rFonts w:cs="Arial"/>
          <w:b/>
          <w:bCs/>
        </w:rPr>
        <w:t xml:space="preserve"> </w:t>
      </w:r>
      <w:r w:rsidR="00494E2E" w:rsidRPr="003B6917">
        <w:rPr>
          <w:rFonts w:cs="Arial"/>
          <w:bCs/>
        </w:rPr>
        <w:t xml:space="preserve">Zatímco </w:t>
      </w:r>
      <w:r w:rsidR="00494E2E" w:rsidRPr="003B6917">
        <w:rPr>
          <w:rFonts w:cs="Arial"/>
          <w:b/>
          <w:bCs/>
        </w:rPr>
        <w:t>ve školách a školských zařízeních, jejichž zřizovatelem je kraj nebo obec, vzrost</w:t>
      </w:r>
      <w:r w:rsidR="00494E2E">
        <w:rPr>
          <w:rFonts w:cs="Arial"/>
          <w:b/>
          <w:bCs/>
        </w:rPr>
        <w:t>l</w:t>
      </w:r>
      <w:r w:rsidR="00494E2E" w:rsidRPr="003B6917">
        <w:rPr>
          <w:rFonts w:cs="Arial"/>
          <w:b/>
          <w:bCs/>
        </w:rPr>
        <w:t xml:space="preserve"> průměrný plat o 2,8 %, ve státem zřizovaných školských zařízení</w:t>
      </w:r>
      <w:r w:rsidR="00494E2E">
        <w:rPr>
          <w:rFonts w:cs="Arial"/>
          <w:b/>
          <w:bCs/>
        </w:rPr>
        <w:t>ch</w:t>
      </w:r>
      <w:r w:rsidR="00494E2E" w:rsidRPr="003B6917">
        <w:rPr>
          <w:rFonts w:cs="Arial"/>
          <w:b/>
          <w:bCs/>
        </w:rPr>
        <w:t xml:space="preserve"> se průměrný plat zvýšil pouze </w:t>
      </w:r>
      <w:r w:rsidR="00494E2E">
        <w:rPr>
          <w:rFonts w:cs="Arial"/>
          <w:b/>
          <w:bCs/>
        </w:rPr>
        <w:t>o 1,8</w:t>
      </w:r>
      <w:r w:rsidR="00494E2E" w:rsidRPr="003B6917">
        <w:rPr>
          <w:rFonts w:cs="Arial"/>
          <w:b/>
          <w:bCs/>
        </w:rPr>
        <w:t> %</w:t>
      </w:r>
      <w:r w:rsidR="00494E2E" w:rsidRPr="003B6917">
        <w:rPr>
          <w:rFonts w:cs="Arial"/>
          <w:bCs/>
        </w:rPr>
        <w:t>, což je vůbec nejnižší nárůst v rámci nepodnikatelské sféry</w:t>
      </w:r>
      <w:r w:rsidR="00494E2E">
        <w:rPr>
          <w:rFonts w:cs="Arial"/>
          <w:bCs/>
        </w:rPr>
        <w:t xml:space="preserve"> </w:t>
      </w:r>
      <w:r w:rsidR="00494E2E" w:rsidRPr="00560452">
        <w:rPr>
          <w:rFonts w:cs="Arial"/>
          <w:bCs/>
        </w:rPr>
        <w:t>– viz</w:t>
      </w:r>
      <w:r>
        <w:rPr>
          <w:rFonts w:cs="Arial"/>
          <w:bCs/>
        </w:rPr>
        <w:t> </w:t>
      </w:r>
      <w:r w:rsidR="00494E2E" w:rsidRPr="00560452">
        <w:rPr>
          <w:rFonts w:cs="Arial"/>
          <w:bCs/>
        </w:rPr>
        <w:t>tabulku č. 5 v příloze.</w:t>
      </w:r>
    </w:p>
    <w:p w:rsidR="00494E2E" w:rsidRPr="00560452" w:rsidRDefault="00494E2E" w:rsidP="00494E2E">
      <w:pPr>
        <w:spacing w:line="360" w:lineRule="auto"/>
        <w:jc w:val="both"/>
        <w:rPr>
          <w:rFonts w:cs="Arial"/>
          <w:bCs/>
        </w:rPr>
      </w:pPr>
    </w:p>
    <w:p w:rsidR="00494E2E" w:rsidRPr="00D90313" w:rsidRDefault="00F96B46" w:rsidP="00F96B46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494E2E" w:rsidRPr="00D90313">
        <w:rPr>
          <w:rFonts w:cs="Arial"/>
          <w:b/>
        </w:rPr>
        <w:t xml:space="preserve">Na </w:t>
      </w:r>
      <w:r w:rsidR="00494E2E">
        <w:rPr>
          <w:rFonts w:cs="Arial"/>
        </w:rPr>
        <w:t>vykázané</w:t>
      </w:r>
      <w:r w:rsidR="00494E2E" w:rsidRPr="00D90313">
        <w:rPr>
          <w:rFonts w:cs="Arial"/>
          <w:b/>
        </w:rPr>
        <w:t xml:space="preserve"> tempo růstu </w:t>
      </w:r>
      <w:r w:rsidR="00494E2E" w:rsidRPr="00D90313">
        <w:rPr>
          <w:rFonts w:cs="Arial"/>
        </w:rPr>
        <w:t>průměrné mzdy</w:t>
      </w:r>
      <w:r w:rsidR="00494E2E" w:rsidRPr="00D90313">
        <w:rPr>
          <w:rFonts w:cs="Arial"/>
          <w:b/>
        </w:rPr>
        <w:t xml:space="preserve"> v podnikatelské sféře </w:t>
      </w:r>
      <w:r w:rsidR="00494E2E" w:rsidRPr="00D90313">
        <w:rPr>
          <w:rFonts w:cs="Arial"/>
        </w:rPr>
        <w:t xml:space="preserve">působily v 1. pololetí </w:t>
      </w:r>
      <w:r w:rsidR="00494E2E" w:rsidRPr="00D90313">
        <w:rPr>
          <w:rFonts w:cs="Arial"/>
          <w:bCs/>
        </w:rPr>
        <w:t>především</w:t>
      </w:r>
      <w:r w:rsidR="00494E2E" w:rsidRPr="00D90313">
        <w:rPr>
          <w:rFonts w:cs="Arial"/>
          <w:b/>
        </w:rPr>
        <w:t xml:space="preserve"> tyto protichůdné </w:t>
      </w:r>
      <w:r w:rsidR="00494E2E" w:rsidRPr="00D90313">
        <w:rPr>
          <w:rFonts w:cs="Arial"/>
          <w:bCs/>
        </w:rPr>
        <w:t>základní</w:t>
      </w:r>
      <w:r w:rsidR="00494E2E" w:rsidRPr="00D90313">
        <w:rPr>
          <w:rFonts w:cs="Arial"/>
          <w:b/>
        </w:rPr>
        <w:t xml:space="preserve"> faktory:</w:t>
      </w:r>
    </w:p>
    <w:p w:rsidR="00494E2E" w:rsidRPr="00F96B46" w:rsidRDefault="00494E2E" w:rsidP="0026628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="Arial"/>
        </w:rPr>
      </w:pPr>
      <w:r w:rsidRPr="00F96B46">
        <w:rPr>
          <w:rFonts w:cs="Arial"/>
        </w:rPr>
        <w:t>doznívající a stále ještě působící opatrná mzdová politika řady zaměstnavatelů při kolektivním vyjednávání zejména při zvyšování mezd zaměstnancům,</w:t>
      </w:r>
    </w:p>
    <w:p w:rsidR="00494E2E" w:rsidRPr="00F96B46" w:rsidRDefault="00494E2E" w:rsidP="0026628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="Arial"/>
        </w:rPr>
      </w:pPr>
      <w:r w:rsidRPr="00F96B46">
        <w:rPr>
          <w:rFonts w:cs="Arial"/>
          <w:bCs/>
        </w:rPr>
        <w:t>výrazné oživení a příznivý vývoj domácí ekonomiky, zejména průmyslu (nárůst zakázek, apod.),</w:t>
      </w:r>
    </w:p>
    <w:p w:rsidR="00494E2E" w:rsidRPr="00F96B46" w:rsidRDefault="00494E2E" w:rsidP="00F96B46">
      <w:pPr>
        <w:pStyle w:val="Odstavecseseznamem"/>
        <w:numPr>
          <w:ilvl w:val="0"/>
          <w:numId w:val="23"/>
        </w:numPr>
        <w:tabs>
          <w:tab w:val="num" w:pos="1701"/>
        </w:tabs>
        <w:spacing w:line="360" w:lineRule="auto"/>
        <w:jc w:val="both"/>
        <w:rPr>
          <w:rFonts w:cs="Arial"/>
        </w:rPr>
      </w:pPr>
      <w:r w:rsidRPr="00F96B46">
        <w:rPr>
          <w:rFonts w:cs="Arial"/>
        </w:rPr>
        <w:t xml:space="preserve">přes zaznamenaný nárůst zaměstnanosti a významný pokles nezaměstnanosti stále ještě relativně vyšší </w:t>
      </w:r>
      <w:r w:rsidRPr="00F96B46">
        <w:rPr>
          <w:rFonts w:cs="Arial"/>
          <w:b/>
        </w:rPr>
        <w:t>podíl</w:t>
      </w:r>
      <w:r w:rsidRPr="00F96B46">
        <w:rPr>
          <w:rFonts w:cs="Arial"/>
          <w:b/>
          <w:bCs/>
        </w:rPr>
        <w:t xml:space="preserve"> nezaměstnaných</w:t>
      </w:r>
      <w:r w:rsidR="00B54712">
        <w:rPr>
          <w:rFonts w:cs="Arial"/>
          <w:b/>
          <w:bCs/>
        </w:rPr>
        <w:t xml:space="preserve"> osob</w:t>
      </w:r>
      <w:r w:rsidRPr="00F96B46">
        <w:rPr>
          <w:rFonts w:cs="Arial"/>
          <w:b/>
          <w:bCs/>
        </w:rPr>
        <w:t xml:space="preserve"> na obyvatelstvu ve věku 15 - 64 let </w:t>
      </w:r>
      <w:r w:rsidRPr="00F96B46">
        <w:rPr>
          <w:rFonts w:cs="Arial"/>
          <w:bCs/>
        </w:rPr>
        <w:t xml:space="preserve">(6,2 % k 30. červnu 2015) </w:t>
      </w:r>
      <w:r w:rsidRPr="00F96B46">
        <w:rPr>
          <w:rFonts w:cs="Arial"/>
          <w:b/>
          <w:bCs/>
        </w:rPr>
        <w:t>a s tím související</w:t>
      </w:r>
      <w:r w:rsidRPr="00F96B46">
        <w:rPr>
          <w:rFonts w:cs="Arial"/>
        </w:rPr>
        <w:t xml:space="preserve"> </w:t>
      </w:r>
      <w:r w:rsidRPr="00F96B46">
        <w:rPr>
          <w:rFonts w:cs="Arial"/>
          <w:b/>
          <w:bCs/>
        </w:rPr>
        <w:t xml:space="preserve">přebytek </w:t>
      </w:r>
      <w:r w:rsidRPr="00F96B46">
        <w:rPr>
          <w:rFonts w:cs="Arial"/>
          <w:b/>
        </w:rPr>
        <w:t xml:space="preserve">nabídky </w:t>
      </w:r>
      <w:r w:rsidRPr="00F96B46">
        <w:rPr>
          <w:rFonts w:cs="Arial"/>
          <w:bCs/>
        </w:rPr>
        <w:t xml:space="preserve">zaměstnanců </w:t>
      </w:r>
      <w:r w:rsidRPr="00F96B46">
        <w:rPr>
          <w:rFonts w:cs="Arial"/>
          <w:b/>
          <w:bCs/>
        </w:rPr>
        <w:t xml:space="preserve">některých profesí </w:t>
      </w:r>
      <w:r w:rsidRPr="00F96B46">
        <w:rPr>
          <w:rFonts w:cs="Arial"/>
          <w:bCs/>
        </w:rPr>
        <w:t>na trhu práce.</w:t>
      </w:r>
    </w:p>
    <w:p w:rsidR="00F96B46" w:rsidRDefault="00F96B46" w:rsidP="00F96B46">
      <w:pPr>
        <w:spacing w:line="360" w:lineRule="auto"/>
        <w:jc w:val="both"/>
        <w:rPr>
          <w:rFonts w:cs="Arial"/>
          <w:b/>
        </w:rPr>
      </w:pPr>
    </w:p>
    <w:p w:rsidR="00494E2E" w:rsidRPr="00E77CE0" w:rsidRDefault="00494E2E" w:rsidP="00F96B46">
      <w:pPr>
        <w:spacing w:after="240"/>
        <w:ind w:left="708"/>
        <w:jc w:val="both"/>
        <w:rPr>
          <w:bCs/>
        </w:rPr>
      </w:pPr>
      <w:r w:rsidRPr="00E77CE0">
        <w:rPr>
          <w:rFonts w:cs="Arial"/>
          <w:szCs w:val="24"/>
        </w:rPr>
        <w:t xml:space="preserve">Z údajů </w:t>
      </w:r>
      <w:r w:rsidRPr="008E23DC">
        <w:rPr>
          <w:rFonts w:cs="Arial"/>
          <w:bCs/>
          <w:szCs w:val="24"/>
        </w:rPr>
        <w:t xml:space="preserve">o </w:t>
      </w:r>
      <w:r w:rsidRPr="008E23DC">
        <w:rPr>
          <w:rFonts w:cs="Arial"/>
          <w:b/>
          <w:bCs/>
          <w:szCs w:val="24"/>
        </w:rPr>
        <w:t>průměrném evidenčním počtu zaměstnanců</w:t>
      </w:r>
      <w:r w:rsidRPr="008E23DC">
        <w:rPr>
          <w:rFonts w:cs="Arial"/>
          <w:bCs/>
          <w:szCs w:val="24"/>
        </w:rPr>
        <w:t xml:space="preserve"> na přepočtené počty (dle Podnikové statistiky o mzdách a zaměstnancích, jedná se o druhý nejvýznamnější zdroj dat, který se však liší od Výběrových šetření pracovních sil) – z ní je patrný akcelerující nárůst zaměstnanců v 1. pololetí letošního roku, a to o 73,4 tis. (tj. o 2,0 %). Přírůstek počtu zaměstnanců byl zaznamenán v obou sférách národního hospodářství. V podnikatelské sféře se zvýšil počet zaměstnanců o 63,3 tis. a</w:t>
      </w:r>
      <w:r>
        <w:rPr>
          <w:rFonts w:cs="Arial"/>
          <w:bCs/>
          <w:szCs w:val="24"/>
        </w:rPr>
        <w:t> </w:t>
      </w:r>
      <w:r w:rsidRPr="008E23DC">
        <w:rPr>
          <w:rFonts w:cs="Arial"/>
          <w:bCs/>
          <w:szCs w:val="24"/>
        </w:rPr>
        <w:t>v nepodnikatelské sféře o 10,1 tis. V detailnějším odvětvovém členění byly zaznamenány rozdílné trendy ve</w:t>
      </w:r>
      <w:r w:rsidR="00F96B46">
        <w:rPr>
          <w:rFonts w:cs="Arial"/>
          <w:bCs/>
          <w:szCs w:val="24"/>
        </w:rPr>
        <w:t> </w:t>
      </w:r>
      <w:r w:rsidRPr="008E23DC">
        <w:rPr>
          <w:rFonts w:cs="Arial"/>
          <w:bCs/>
          <w:szCs w:val="24"/>
        </w:rPr>
        <w:t xml:space="preserve">vývoji zaměstnanců. Nejvyšší nárůst zaměstnanců byl vykázán v největším odvětví </w:t>
      </w:r>
      <w:r w:rsidR="00F96B46">
        <w:rPr>
          <w:rFonts w:cs="Arial"/>
          <w:bCs/>
          <w:szCs w:val="24"/>
        </w:rPr>
        <w:t>–</w:t>
      </w:r>
      <w:r w:rsidRPr="008E23DC">
        <w:rPr>
          <w:rFonts w:cs="Arial"/>
          <w:bCs/>
          <w:szCs w:val="24"/>
        </w:rPr>
        <w:t xml:space="preserve"> ve zpracovatelském průmyslu (o 32,0 tis., tj. o 3,0 %), dále pak v odvětví „administrativní a podpůrné činnosti“ (o 7,8 tis.) a odvětví „velkoobchod a maloobchod; opravy a údržba motorových vozidel“ (o 7,7 tis.). Největší pokles zaměstnanosti byl zaznamenán opět v odvětví „stavebnictví“ (o 2,4 tis., tj. o 1,2 %), dále pak v odvětvích „těžba a dobývání“ (o 1,1 tis.), „výroba a rozvod elektřiny, plynu, tepla a klimatizovaného vzduchu“ (o 0,7 tis.)</w:t>
      </w:r>
      <w:r w:rsidR="008C39D6">
        <w:rPr>
          <w:rFonts w:cs="Arial"/>
          <w:bCs/>
          <w:szCs w:val="24"/>
        </w:rPr>
        <w:t>,</w:t>
      </w:r>
      <w:r w:rsidRPr="008E23DC">
        <w:rPr>
          <w:rFonts w:cs="Arial"/>
          <w:bCs/>
          <w:szCs w:val="24"/>
        </w:rPr>
        <w:t xml:space="preserve"> </w:t>
      </w:r>
      <w:r w:rsidR="008C39D6">
        <w:rPr>
          <w:rFonts w:cs="Arial"/>
          <w:bCs/>
          <w:szCs w:val="24"/>
        </w:rPr>
        <w:t xml:space="preserve">„ubytování, stravování a pohostinství (o 0,5 tis.) </w:t>
      </w:r>
      <w:r w:rsidRPr="008E23DC">
        <w:rPr>
          <w:rFonts w:cs="Arial"/>
          <w:bCs/>
          <w:szCs w:val="24"/>
        </w:rPr>
        <w:t>a „peněžnictví a</w:t>
      </w:r>
      <w:r>
        <w:rPr>
          <w:rFonts w:cs="Arial"/>
          <w:bCs/>
          <w:szCs w:val="24"/>
        </w:rPr>
        <w:t> </w:t>
      </w:r>
      <w:r w:rsidRPr="008E23DC">
        <w:rPr>
          <w:rFonts w:cs="Arial"/>
          <w:bCs/>
          <w:szCs w:val="24"/>
        </w:rPr>
        <w:t>pojišťovnictví“ (o 0,1 tis.).</w:t>
      </w:r>
    </w:p>
    <w:p w:rsidR="00494E2E" w:rsidRPr="00E77CE0" w:rsidRDefault="00494E2E" w:rsidP="00F96B46">
      <w:pPr>
        <w:tabs>
          <w:tab w:val="left" w:pos="3930"/>
        </w:tabs>
        <w:spacing w:line="360" w:lineRule="auto"/>
        <w:jc w:val="both"/>
        <w:rPr>
          <w:rFonts w:cs="Arial"/>
        </w:rPr>
      </w:pPr>
    </w:p>
    <w:p w:rsidR="00494E2E" w:rsidRDefault="00F96B46" w:rsidP="00F96B46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494E2E" w:rsidRPr="00B81DF3">
        <w:rPr>
          <w:bCs/>
        </w:rPr>
        <w:t xml:space="preserve">Z hlediska odvětvového členění (podle Klasifikace ekonomických činností </w:t>
      </w:r>
      <w:r w:rsidR="00F07026">
        <w:rPr>
          <w:bCs/>
        </w:rPr>
        <w:t xml:space="preserve">  </w:t>
      </w:r>
      <w:r w:rsidR="00494E2E" w:rsidRPr="00B81DF3">
        <w:rPr>
          <w:bCs/>
        </w:rPr>
        <w:t xml:space="preserve">CZ-NACE) </w:t>
      </w:r>
      <w:r w:rsidR="00494E2E" w:rsidRPr="00B81DF3">
        <w:rPr>
          <w:b/>
          <w:bCs/>
        </w:rPr>
        <w:t xml:space="preserve">dosáhla v 1. pololetí 2015 nejvyšší nominální průměrné mzdy </w:t>
      </w:r>
      <w:r w:rsidR="00494E2E" w:rsidRPr="00B81DF3">
        <w:rPr>
          <w:bCs/>
        </w:rPr>
        <w:t xml:space="preserve">tradičně </w:t>
      </w:r>
      <w:r w:rsidR="00494E2E" w:rsidRPr="00B81DF3">
        <w:rPr>
          <w:b/>
          <w:bCs/>
        </w:rPr>
        <w:t>odvětví „peněžnictví a pojišťovnictví“</w:t>
      </w:r>
      <w:r w:rsidR="00494E2E" w:rsidRPr="00B81DF3">
        <w:rPr>
          <w:bCs/>
        </w:rPr>
        <w:t xml:space="preserve"> (50 541 Kč), </w:t>
      </w:r>
      <w:r w:rsidR="00494E2E" w:rsidRPr="00B81DF3">
        <w:rPr>
          <w:b/>
          <w:bCs/>
        </w:rPr>
        <w:t>„informační a</w:t>
      </w:r>
      <w:r w:rsidR="00494E2E">
        <w:rPr>
          <w:b/>
          <w:bCs/>
        </w:rPr>
        <w:t> </w:t>
      </w:r>
      <w:r w:rsidR="00494E2E" w:rsidRPr="00B81DF3">
        <w:rPr>
          <w:b/>
          <w:bCs/>
        </w:rPr>
        <w:t>komunikační činnosti“</w:t>
      </w:r>
      <w:r w:rsidR="00494E2E" w:rsidRPr="00B81DF3">
        <w:rPr>
          <w:bCs/>
        </w:rPr>
        <w:t xml:space="preserve"> (47 649 Kč) a </w:t>
      </w:r>
      <w:r w:rsidR="00494E2E" w:rsidRPr="00B81DF3">
        <w:rPr>
          <w:b/>
          <w:bCs/>
        </w:rPr>
        <w:t>„výroba a rozvod elektřiny, plynu, tepla a</w:t>
      </w:r>
      <w:r w:rsidR="00494E2E">
        <w:rPr>
          <w:b/>
          <w:bCs/>
        </w:rPr>
        <w:t> </w:t>
      </w:r>
      <w:r w:rsidR="00494E2E" w:rsidRPr="00B81DF3">
        <w:rPr>
          <w:b/>
          <w:bCs/>
        </w:rPr>
        <w:t>klimatizovaného vzduchu“</w:t>
      </w:r>
      <w:r w:rsidR="00494E2E" w:rsidRPr="00B81DF3">
        <w:rPr>
          <w:bCs/>
        </w:rPr>
        <w:t xml:space="preserve"> (41 040 Kč). Celorepublikový průměr (25 810 Kč) byl překročen rovněž v odvětvích „profesní, vědecké a technické činnosti“ (32 385 Kč), „těžba a</w:t>
      </w:r>
      <w:r w:rsidR="00494E2E">
        <w:rPr>
          <w:bCs/>
        </w:rPr>
        <w:t xml:space="preserve"> </w:t>
      </w:r>
      <w:r w:rsidR="00494E2E" w:rsidRPr="00B81DF3">
        <w:rPr>
          <w:bCs/>
        </w:rPr>
        <w:t xml:space="preserve">dobývání“ (30 251 Kč), „veřejná správa a obrana; povinné sociální </w:t>
      </w:r>
      <w:r w:rsidR="00494E2E" w:rsidRPr="00B81DF3">
        <w:rPr>
          <w:bCs/>
        </w:rPr>
        <w:lastRenderedPageBreak/>
        <w:t>zabezpečení“ (27 850 Kč), „zpracovatelský průmysl“ (25 968 Kč) a „zdravotní a</w:t>
      </w:r>
      <w:r w:rsidR="00494E2E">
        <w:rPr>
          <w:bCs/>
        </w:rPr>
        <w:t> </w:t>
      </w:r>
      <w:r w:rsidR="00494E2E" w:rsidRPr="00B81DF3">
        <w:rPr>
          <w:bCs/>
        </w:rPr>
        <w:t xml:space="preserve">sociální péče“ (25 894 Kč). Naopak </w:t>
      </w:r>
      <w:r w:rsidR="00494E2E" w:rsidRPr="00B81DF3">
        <w:rPr>
          <w:b/>
          <w:bCs/>
        </w:rPr>
        <w:t>nejnižší průměrná mzda byla v odvětvích „ubytování, stravování a pohostinství“</w:t>
      </w:r>
      <w:r w:rsidR="00494E2E" w:rsidRPr="00B81DF3">
        <w:rPr>
          <w:bCs/>
        </w:rPr>
        <w:t xml:space="preserve"> (14 500 Kč), </w:t>
      </w:r>
      <w:r w:rsidR="00494E2E" w:rsidRPr="00B81DF3">
        <w:rPr>
          <w:b/>
          <w:bCs/>
        </w:rPr>
        <w:t>„administrativní a podpůrné činnosti“</w:t>
      </w:r>
      <w:r w:rsidR="00494E2E" w:rsidRPr="00B81DF3">
        <w:rPr>
          <w:bCs/>
        </w:rPr>
        <w:t xml:space="preserve"> (17 004 Kč) a </w:t>
      </w:r>
      <w:r w:rsidR="00494E2E" w:rsidRPr="00B81DF3">
        <w:rPr>
          <w:b/>
          <w:bCs/>
        </w:rPr>
        <w:t>„zemědělství, lesnictví a rybářství“</w:t>
      </w:r>
      <w:r w:rsidR="00494E2E" w:rsidRPr="00B81DF3">
        <w:rPr>
          <w:bCs/>
        </w:rPr>
        <w:t xml:space="preserve"> (19 972 Kč).</w:t>
      </w:r>
      <w:r w:rsidR="00494E2E">
        <w:rPr>
          <w:bCs/>
        </w:rPr>
        <w:t xml:space="preserve"> </w:t>
      </w:r>
      <w:r w:rsidR="00494E2E" w:rsidRPr="00B81DF3">
        <w:rPr>
          <w:bCs/>
        </w:rPr>
        <w:t>Podrobný přehled o výši průměrných mezd ve sledovaných 19 odvětví CZ-NACE je uveden v následujícím grafu a tabulce č. 6 v příloze.</w:t>
      </w:r>
    </w:p>
    <w:p w:rsidR="00F07026" w:rsidRDefault="00F07026" w:rsidP="00F96B46">
      <w:pPr>
        <w:spacing w:line="360" w:lineRule="auto"/>
        <w:jc w:val="both"/>
        <w:rPr>
          <w:bCs/>
        </w:rPr>
      </w:pPr>
    </w:p>
    <w:p w:rsidR="00494E2E" w:rsidRDefault="00F07026" w:rsidP="00F07026">
      <w:pPr>
        <w:spacing w:after="240" w:line="360" w:lineRule="auto"/>
        <w:jc w:val="both"/>
        <w:rPr>
          <w:bCs/>
        </w:rPr>
      </w:pPr>
      <w:r>
        <w:rPr>
          <w:bCs/>
        </w:rPr>
        <w:tab/>
      </w:r>
      <w:r w:rsidR="00494E2E" w:rsidRPr="00B81DF3">
        <w:rPr>
          <w:bCs/>
        </w:rPr>
        <w:t xml:space="preserve">Meziroční vývoj dynamiky průměrné mzdy byl v jednotlivých odvětvích značně diferencovaný a pohyboval se v rozsahu (nominálně) od -1,1 % do +5,4 %. </w:t>
      </w:r>
      <w:r w:rsidR="00494E2E" w:rsidRPr="00B81DF3">
        <w:rPr>
          <w:b/>
          <w:bCs/>
        </w:rPr>
        <w:t>K největšímu nárůstu průměrné mzdy došlo</w:t>
      </w:r>
      <w:r w:rsidR="00494E2E" w:rsidRPr="00B81DF3">
        <w:rPr>
          <w:bCs/>
        </w:rPr>
        <w:t xml:space="preserve"> v 1. pololetí letošního roku u odvětví </w:t>
      </w:r>
      <w:r w:rsidR="00494E2E" w:rsidRPr="00B81DF3">
        <w:rPr>
          <w:b/>
          <w:bCs/>
        </w:rPr>
        <w:t>„ubytování, stravování a pohostinství“</w:t>
      </w:r>
      <w:r w:rsidR="00494E2E" w:rsidRPr="00B81DF3">
        <w:rPr>
          <w:bCs/>
        </w:rPr>
        <w:t xml:space="preserve"> (nominálně o 5,4 %, reálně o 5,0 %),</w:t>
      </w:r>
      <w:r w:rsidR="00494E2E" w:rsidRPr="00B81DF3">
        <w:rPr>
          <w:b/>
          <w:bCs/>
        </w:rPr>
        <w:t xml:space="preserve"> „zdravotní a sociální péče“</w:t>
      </w:r>
      <w:r w:rsidR="00494E2E" w:rsidRPr="00B81DF3">
        <w:rPr>
          <w:bCs/>
        </w:rPr>
        <w:t xml:space="preserve"> (nominálně o 4,6 %, reálně o 4,2 %), </w:t>
      </w:r>
      <w:r w:rsidR="00494E2E" w:rsidRPr="00B81DF3">
        <w:rPr>
          <w:b/>
          <w:bCs/>
        </w:rPr>
        <w:t>„veřejná správa a obrana; povinné sociální zabezpečení“</w:t>
      </w:r>
      <w:r w:rsidR="00494E2E" w:rsidRPr="00B81DF3">
        <w:rPr>
          <w:bCs/>
        </w:rPr>
        <w:t xml:space="preserve"> (nominálně o 4,4 %, reálně o 4,0 %) a </w:t>
      </w:r>
      <w:r w:rsidR="00494E2E" w:rsidRPr="00B81DF3">
        <w:rPr>
          <w:b/>
          <w:bCs/>
        </w:rPr>
        <w:t>„stavebnictví“</w:t>
      </w:r>
      <w:r w:rsidR="00494E2E" w:rsidRPr="00B81DF3">
        <w:rPr>
          <w:bCs/>
        </w:rPr>
        <w:t xml:space="preserve"> (nominálně o 4,1 %, reálně o 3,7 %). </w:t>
      </w:r>
      <w:r w:rsidR="00494E2E" w:rsidRPr="00B81DF3">
        <w:rPr>
          <w:b/>
          <w:bCs/>
        </w:rPr>
        <w:t>Meziroční pokles průměrné mzdy byl zaznamenán ve dvou odvětvích,</w:t>
      </w:r>
      <w:r w:rsidR="00494E2E" w:rsidRPr="00B81DF3">
        <w:rPr>
          <w:bCs/>
        </w:rPr>
        <w:t xml:space="preserve"> a to v odvětví </w:t>
      </w:r>
      <w:r w:rsidR="00494E2E" w:rsidRPr="00B81DF3">
        <w:rPr>
          <w:b/>
          <w:bCs/>
        </w:rPr>
        <w:t xml:space="preserve">„výroba a rozvod elektřiny, plynu, tepla a klimatizovaného vzduchu“ </w:t>
      </w:r>
      <w:r w:rsidR="00494E2E" w:rsidRPr="00B81DF3">
        <w:rPr>
          <w:bCs/>
        </w:rPr>
        <w:t xml:space="preserve">(nominálně o 1,1 %, reálně o 1,5 %) a v odvětví </w:t>
      </w:r>
      <w:r w:rsidR="00494E2E" w:rsidRPr="00B81DF3">
        <w:rPr>
          <w:b/>
          <w:bCs/>
        </w:rPr>
        <w:t xml:space="preserve">„těžba a dobývání“ </w:t>
      </w:r>
      <w:r w:rsidR="00494E2E" w:rsidRPr="00B81DF3">
        <w:rPr>
          <w:bCs/>
        </w:rPr>
        <w:t>(nominálně o 1,0 %, reálně o 1,4 %).</w:t>
      </w:r>
    </w:p>
    <w:p w:rsidR="00494E2E" w:rsidRDefault="00494E2E" w:rsidP="00494E2E">
      <w:pPr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67686" cy="3829050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4" t="1223" r="984" b="1653"/>
                    <a:stretch/>
                  </pic:blipFill>
                  <pic:spPr bwMode="auto">
                    <a:xfrm>
                      <a:off x="0" y="0"/>
                      <a:ext cx="5786162" cy="384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7026" w:rsidRPr="00F96B46" w:rsidRDefault="00F07026" w:rsidP="00F07026">
      <w:pPr>
        <w:spacing w:before="240"/>
        <w:jc w:val="both"/>
        <w:rPr>
          <w:rFonts w:cs="Arial"/>
          <w:sz w:val="20"/>
        </w:rPr>
      </w:pPr>
      <w:r w:rsidRPr="00F96B46">
        <w:rPr>
          <w:rFonts w:cs="Arial"/>
          <w:sz w:val="20"/>
        </w:rPr>
        <w:t>Zpracováno z dat ČSÚ</w:t>
      </w:r>
    </w:p>
    <w:p w:rsidR="00494E2E" w:rsidRDefault="00F07026" w:rsidP="00F07026">
      <w:pPr>
        <w:spacing w:after="240" w:line="360" w:lineRule="auto"/>
        <w:jc w:val="both"/>
        <w:rPr>
          <w:rFonts w:cs="Arial"/>
          <w:bCs/>
        </w:rPr>
      </w:pPr>
      <w:r>
        <w:rPr>
          <w:bCs/>
        </w:rPr>
        <w:lastRenderedPageBreak/>
        <w:tab/>
      </w:r>
      <w:r w:rsidR="00494E2E" w:rsidRPr="00E77CE0">
        <w:rPr>
          <w:rFonts w:cs="Arial"/>
          <w:b/>
        </w:rPr>
        <w:t>Meziodvětvová mzdová diferenciace</w:t>
      </w:r>
      <w:r w:rsidR="00494E2E" w:rsidRPr="00E77CE0">
        <w:rPr>
          <w:rFonts w:cs="Arial"/>
          <w:bCs/>
        </w:rPr>
        <w:t xml:space="preserve"> proti stejnému období předchozího roku </w:t>
      </w:r>
      <w:r w:rsidR="00494E2E" w:rsidRPr="00E77CE0">
        <w:rPr>
          <w:rFonts w:cs="Arial"/>
          <w:b/>
          <w:bCs/>
        </w:rPr>
        <w:t>poklesla</w:t>
      </w:r>
      <w:r w:rsidR="00494E2E" w:rsidRPr="00E77CE0">
        <w:rPr>
          <w:rFonts w:cs="Arial"/>
          <w:bCs/>
        </w:rPr>
        <w:t>; variační koeficient průměrných mezd (podle sekcí CZ-NACE) se snížil o 1,</w:t>
      </w:r>
      <w:r w:rsidR="00494E2E">
        <w:rPr>
          <w:rFonts w:cs="Arial"/>
          <w:bCs/>
        </w:rPr>
        <w:t>3</w:t>
      </w:r>
      <w:r w:rsidR="00494E2E" w:rsidRPr="00E77CE0">
        <w:rPr>
          <w:rFonts w:cs="Arial"/>
          <w:bCs/>
        </w:rPr>
        <w:t xml:space="preserve"> p.</w:t>
      </w:r>
      <w:r w:rsidR="00494E2E">
        <w:rPr>
          <w:rFonts w:cs="Arial"/>
          <w:bCs/>
        </w:rPr>
        <w:t> </w:t>
      </w:r>
      <w:r w:rsidR="00494E2E" w:rsidRPr="00E77CE0">
        <w:rPr>
          <w:rFonts w:cs="Arial"/>
          <w:bCs/>
        </w:rPr>
        <w:t>b. na 34,</w:t>
      </w:r>
      <w:r w:rsidR="00494E2E">
        <w:rPr>
          <w:rFonts w:cs="Arial"/>
          <w:bCs/>
        </w:rPr>
        <w:t>5</w:t>
      </w:r>
      <w:r w:rsidR="00494E2E" w:rsidRPr="00E77CE0">
        <w:rPr>
          <w:rFonts w:cs="Arial"/>
          <w:bCs/>
        </w:rPr>
        <w:t> %.</w:t>
      </w:r>
    </w:p>
    <w:p w:rsidR="00F07026" w:rsidRDefault="00F07026" w:rsidP="00F07026">
      <w:pPr>
        <w:spacing w:line="360" w:lineRule="auto"/>
        <w:jc w:val="both"/>
        <w:rPr>
          <w:rFonts w:cs="Arial"/>
          <w:bCs/>
        </w:rPr>
      </w:pPr>
    </w:p>
    <w:p w:rsidR="00494E2E" w:rsidRDefault="00F07026" w:rsidP="00F07026">
      <w:pPr>
        <w:spacing w:after="240" w:line="360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="00494E2E" w:rsidRPr="003231FD">
        <w:rPr>
          <w:rFonts w:cs="Arial"/>
          <w:b/>
        </w:rPr>
        <w:t xml:space="preserve">Výše průměrné nominální mzdy se </w:t>
      </w:r>
      <w:r w:rsidR="00494E2E" w:rsidRPr="003231FD">
        <w:rPr>
          <w:rFonts w:cs="Arial"/>
          <w:bCs/>
        </w:rPr>
        <w:t>výrazně</w:t>
      </w:r>
      <w:r w:rsidR="00494E2E" w:rsidRPr="003231FD">
        <w:rPr>
          <w:rFonts w:cs="Arial"/>
          <w:b/>
        </w:rPr>
        <w:t xml:space="preserve"> lišila i podle velikosti zpravodajské jednotky, tj. čím větší byl počet zaměstnanců, tím vyšší byla průměrná mzda.</w:t>
      </w:r>
      <w:r w:rsidR="00494E2E" w:rsidRPr="003231FD">
        <w:rPr>
          <w:rFonts w:cs="Arial"/>
          <w:b/>
          <w:bCs/>
        </w:rPr>
        <w:t xml:space="preserve"> V podnicích do 19 zaměstnanců</w:t>
      </w:r>
      <w:r w:rsidR="00494E2E" w:rsidRPr="003231FD">
        <w:rPr>
          <w:rFonts w:cs="Arial"/>
          <w:bCs/>
        </w:rPr>
        <w:t xml:space="preserve"> (velikostní kategorii s druhým nejvyšším počtem zaměstnanců – cca 810 tisíc) byla nejnižší a činila </w:t>
      </w:r>
      <w:r w:rsidR="00494E2E" w:rsidRPr="003231FD">
        <w:rPr>
          <w:rFonts w:cs="Arial"/>
          <w:b/>
          <w:bCs/>
        </w:rPr>
        <w:t>18 724 Kč</w:t>
      </w:r>
      <w:r w:rsidR="00494E2E" w:rsidRPr="003231FD">
        <w:rPr>
          <w:rFonts w:cs="Arial"/>
          <w:bCs/>
        </w:rPr>
        <w:t xml:space="preserve"> (téměř 73 % průměrné mzdy v národním hospodářství). Naopak nejvyšší průměrná mzda </w:t>
      </w:r>
      <w:r w:rsidR="00494E2E" w:rsidRPr="003231FD">
        <w:rPr>
          <w:rFonts w:cs="Arial"/>
          <w:b/>
          <w:bCs/>
        </w:rPr>
        <w:t>30 824 Kč</w:t>
      </w:r>
      <w:r w:rsidR="00494E2E" w:rsidRPr="003231FD">
        <w:rPr>
          <w:rFonts w:cs="Arial"/>
          <w:bCs/>
        </w:rPr>
        <w:t xml:space="preserve"> (cca 120 % průměru) byla vyplacena </w:t>
      </w:r>
      <w:r w:rsidR="00494E2E" w:rsidRPr="003231FD">
        <w:rPr>
          <w:rFonts w:cs="Arial"/>
          <w:b/>
          <w:bCs/>
        </w:rPr>
        <w:t>v organizacích s 1 000 a více zaměstnanci</w:t>
      </w:r>
      <w:r w:rsidR="00494E2E" w:rsidRPr="003231FD">
        <w:rPr>
          <w:rFonts w:cs="Arial"/>
          <w:bCs/>
        </w:rPr>
        <w:t>.</w:t>
      </w:r>
      <w:r w:rsidR="00494E2E" w:rsidRPr="001F3C3D">
        <w:rPr>
          <w:rFonts w:cs="Arial"/>
          <w:bCs/>
        </w:rPr>
        <w:t xml:space="preserve"> </w:t>
      </w:r>
      <w:r w:rsidR="00494E2E">
        <w:rPr>
          <w:rFonts w:cs="Arial"/>
          <w:bCs/>
        </w:rPr>
        <w:t>Byla zde však vykázána nejnižší d</w:t>
      </w:r>
      <w:r w:rsidR="00494E2E" w:rsidRPr="001F3C3D">
        <w:rPr>
          <w:rFonts w:cs="Arial"/>
          <w:bCs/>
        </w:rPr>
        <w:t>ynamika meziročního nárůstu průměrné mzdy</w:t>
      </w:r>
      <w:r w:rsidR="00494E2E">
        <w:rPr>
          <w:rFonts w:cs="Arial"/>
          <w:bCs/>
        </w:rPr>
        <w:t xml:space="preserve"> (nominálně o 1,8 % a reálně o 1,4 %). Ve sledovaném období platilo, čím menší počet zaměstnanců, tím vyšší růst průměrné mzdy (s výjimkou firem s 50 až 99 zaměstnanci). Zvýšení počtu zaměstnanců bylo zaznamenáno ve všech velikostních kategoriích (s výjimkou subjektů s 20 až 49 zaměstnanci</w:t>
      </w:r>
      <w:r w:rsidR="00494E2E" w:rsidRPr="008113A8">
        <w:rPr>
          <w:rFonts w:cs="Arial"/>
          <w:bCs/>
        </w:rPr>
        <w:t>), nejintenzivněji vzrostl počet pracovníků u největších a zároveň nejmenších zaměstnavatelů (absolutně o 28,2 tis., resp. 27,2 tis.) – podrobněji viz tabulku č. 7 v příloze.</w:t>
      </w:r>
    </w:p>
    <w:p w:rsidR="00F07026" w:rsidRDefault="00F07026" w:rsidP="00F07026">
      <w:pPr>
        <w:spacing w:line="360" w:lineRule="auto"/>
        <w:jc w:val="both"/>
        <w:rPr>
          <w:rFonts w:cs="Arial"/>
          <w:bCs/>
        </w:rPr>
      </w:pPr>
    </w:p>
    <w:p w:rsidR="00494E2E" w:rsidRDefault="00F07026" w:rsidP="00F07026">
      <w:pPr>
        <w:spacing w:line="360" w:lineRule="auto"/>
        <w:jc w:val="both"/>
      </w:pPr>
      <w:r>
        <w:rPr>
          <w:rFonts w:cs="Arial"/>
          <w:bCs/>
        </w:rPr>
        <w:tab/>
      </w:r>
      <w:r w:rsidR="00494E2E" w:rsidRPr="00C1222C">
        <w:rPr>
          <w:b/>
        </w:rPr>
        <w:t xml:space="preserve">V územním členění podle </w:t>
      </w:r>
      <w:r w:rsidR="00494E2E" w:rsidRPr="000D69BA">
        <w:rPr>
          <w:b/>
        </w:rPr>
        <w:t>krajů</w:t>
      </w:r>
      <w:r w:rsidR="00494E2E" w:rsidRPr="000D69BA">
        <w:t xml:space="preserve"> (rovněž viz graf na následující straně)</w:t>
      </w:r>
      <w:r w:rsidR="00494E2E" w:rsidRPr="000D69BA">
        <w:rPr>
          <w:b/>
        </w:rPr>
        <w:t xml:space="preserve"> </w:t>
      </w:r>
      <w:r w:rsidR="00494E2E" w:rsidRPr="00C1222C">
        <w:rPr>
          <w:b/>
        </w:rPr>
        <w:t xml:space="preserve">dosáhl nejvyšší průměrné </w:t>
      </w:r>
      <w:r w:rsidR="00494E2E" w:rsidRPr="00C1222C">
        <w:t xml:space="preserve">měsíční </w:t>
      </w:r>
      <w:r w:rsidR="00494E2E" w:rsidRPr="00C1222C">
        <w:rPr>
          <w:b/>
        </w:rPr>
        <w:t>mzdy 33 397 Kč kraj hl. město Praha,</w:t>
      </w:r>
      <w:r w:rsidR="00494E2E" w:rsidRPr="00C1222C">
        <w:t xml:space="preserve"> ve</w:t>
      </w:r>
      <w:r w:rsidR="00822A5F">
        <w:t> </w:t>
      </w:r>
      <w:r w:rsidR="00494E2E" w:rsidRPr="00C1222C">
        <w:t xml:space="preserve">kterém byl zároveň evidován největší počet zaměstnanců (772 tis. podle </w:t>
      </w:r>
      <w:proofErr w:type="spellStart"/>
      <w:r w:rsidR="00494E2E" w:rsidRPr="00C1222C">
        <w:t>pracovištní</w:t>
      </w:r>
      <w:proofErr w:type="spellEnd"/>
      <w:r w:rsidR="00494E2E" w:rsidRPr="00C1222C">
        <w:t xml:space="preserve"> metody</w:t>
      </w:r>
      <w:r w:rsidR="00494E2E" w:rsidRPr="00C1222C">
        <w:rPr>
          <w:rFonts w:cs="Arial"/>
          <w:bCs/>
          <w:szCs w:val="24"/>
        </w:rPr>
        <w:t xml:space="preserve"> z údajů z podnikového výkaznictví ČSÚ</w:t>
      </w:r>
      <w:r w:rsidR="00494E2E" w:rsidRPr="00C1222C">
        <w:t>).</w:t>
      </w:r>
      <w:r w:rsidR="00494E2E" w:rsidRPr="00C1222C">
        <w:rPr>
          <w:b/>
        </w:rPr>
        <w:t xml:space="preserve"> Dlouhodobě se jedná o jediný region, který úrovní průměrné mzdy převyšuje celorepublikový průměr</w:t>
      </w:r>
      <w:r>
        <w:rPr>
          <w:b/>
        </w:rPr>
        <w:t>,</w:t>
      </w:r>
      <w:r w:rsidR="00494E2E" w:rsidRPr="00C1222C">
        <w:t xml:space="preserve"> a to </w:t>
      </w:r>
      <w:r w:rsidR="00494E2E" w:rsidRPr="002C5498">
        <w:t xml:space="preserve">o cca 29 % (o 7 587 Kč). V tomto regionu byl opětovně zaznamenán nejnižší nárůst jak nominální (2,1 %), tak i reálné mzdy (1,7 %) a zároveň se jednalo o kraj, kde došlo k největšímu nárůstu počtu zaměstnanců (19,6 tis.). K poklesu počtu zaměstnanců došlo pouze v Karlovarském kraji. S velkým odstupem a překročením hranice 26 000 Kč následoval Středočeský kraj. Nejčastěji byl zastoupen interval s průměrnou mzdu 23 000 až 24 000 Kč, a to v 6 krajích (Jihočeský, Vysočina, Ústecký, Moravskoslezský, Královéhradecký a Liberecký). </w:t>
      </w:r>
      <w:r w:rsidR="00494E2E" w:rsidRPr="002C5498">
        <w:rPr>
          <w:b/>
        </w:rPr>
        <w:t>Nejnižší průměrná mzda 21 960 Kč byla zaznamenána v Karlovarském kraji. Největší</w:t>
      </w:r>
      <w:r w:rsidR="00494E2E" w:rsidRPr="002C5498">
        <w:t xml:space="preserve"> relativní </w:t>
      </w:r>
      <w:r w:rsidR="00494E2E" w:rsidRPr="002C5498">
        <w:rPr>
          <w:b/>
        </w:rPr>
        <w:t>vzestup průměrné nominální mzdy vykázal Pardubický</w:t>
      </w:r>
      <w:r w:rsidR="00494E2E" w:rsidRPr="002C5498">
        <w:t xml:space="preserve"> (3,7 %) </w:t>
      </w:r>
      <w:r w:rsidR="00494E2E" w:rsidRPr="002C5498">
        <w:lastRenderedPageBreak/>
        <w:t xml:space="preserve">a </w:t>
      </w:r>
      <w:r w:rsidR="00494E2E" w:rsidRPr="002C5498">
        <w:rPr>
          <w:b/>
        </w:rPr>
        <w:t>Liberecký kraj</w:t>
      </w:r>
      <w:r w:rsidR="00494E2E" w:rsidRPr="002C5498">
        <w:t xml:space="preserve"> (3,6 %). V porovnání se stejným obdobím předchozího roku </w:t>
      </w:r>
      <w:r w:rsidR="00494E2E" w:rsidRPr="002C5498">
        <w:rPr>
          <w:b/>
        </w:rPr>
        <w:t>byla kupní síla průměrné mzdy v krajském průřezu ve všech krajích vyšší</w:t>
      </w:r>
      <w:r w:rsidR="00494E2E" w:rsidRPr="002C5498">
        <w:t xml:space="preserve"> – viz tabulku č. 8 v příloze.</w:t>
      </w:r>
    </w:p>
    <w:p w:rsidR="00F07026" w:rsidRDefault="00F07026" w:rsidP="00F07026">
      <w:pPr>
        <w:spacing w:line="360" w:lineRule="auto"/>
        <w:jc w:val="both"/>
      </w:pPr>
    </w:p>
    <w:p w:rsidR="00F07026" w:rsidRPr="0071217F" w:rsidRDefault="0071217F" w:rsidP="0071217F">
      <w:pPr>
        <w:spacing w:line="360" w:lineRule="auto"/>
      </w:pPr>
      <w:r>
        <w:rPr>
          <w:noProof/>
        </w:rPr>
        <w:drawing>
          <wp:inline distT="0" distB="0" distL="0" distR="0">
            <wp:extent cx="5759450" cy="4075166"/>
            <wp:effectExtent l="0" t="0" r="0" b="1905"/>
            <wp:docPr id="8" name="Obrázek 8" descr="E:\2015\1ANALÝZY 2015\Prum mzda_1pol2015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\1ANALÝZY 2015\Prum mzda_1pol2015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26" w:rsidRPr="00F96B46">
        <w:rPr>
          <w:rFonts w:cs="Arial"/>
          <w:sz w:val="20"/>
        </w:rPr>
        <w:t>Zpracováno z dat ČSÚ</w:t>
      </w:r>
    </w:p>
    <w:p w:rsidR="00F07026" w:rsidRDefault="00F07026" w:rsidP="00F07026">
      <w:pPr>
        <w:spacing w:line="360" w:lineRule="auto"/>
        <w:jc w:val="both"/>
        <w:rPr>
          <w:bCs/>
        </w:rPr>
      </w:pPr>
    </w:p>
    <w:p w:rsidR="00494E2E" w:rsidRDefault="00F07026" w:rsidP="00F07026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494E2E" w:rsidRPr="002C5498">
        <w:rPr>
          <w:bCs/>
        </w:rPr>
        <w:t xml:space="preserve">Současně došlo k mírnému prohloubení diferenciace, tj. zvýšení extrémních mzdových hladin (Praha x Karlovarský kraj) o 62 Kč na 11 437 Kč. Hodnota variačního koeficientu v tomto členění </w:t>
      </w:r>
      <w:r w:rsidR="0040750A">
        <w:rPr>
          <w:bCs/>
        </w:rPr>
        <w:t>však pokles</w:t>
      </w:r>
      <w:r w:rsidR="00494E2E" w:rsidRPr="002C5498">
        <w:rPr>
          <w:bCs/>
        </w:rPr>
        <w:t>la z 1</w:t>
      </w:r>
      <w:r w:rsidR="0040750A">
        <w:rPr>
          <w:bCs/>
        </w:rPr>
        <w:t>1</w:t>
      </w:r>
      <w:r w:rsidR="00494E2E" w:rsidRPr="002C5498">
        <w:rPr>
          <w:bCs/>
        </w:rPr>
        <w:t>,</w:t>
      </w:r>
      <w:r w:rsidR="0040750A">
        <w:rPr>
          <w:bCs/>
        </w:rPr>
        <w:t>6</w:t>
      </w:r>
      <w:r w:rsidR="00494E2E" w:rsidRPr="002C5498">
        <w:rPr>
          <w:bCs/>
        </w:rPr>
        <w:t> % v 1. pololetí 2014 na</w:t>
      </w:r>
      <w:r w:rsidR="00285AF4">
        <w:rPr>
          <w:bCs/>
        </w:rPr>
        <w:t> </w:t>
      </w:r>
      <w:r w:rsidR="00494E2E" w:rsidRPr="002C5498">
        <w:rPr>
          <w:bCs/>
        </w:rPr>
        <w:t>1</w:t>
      </w:r>
      <w:r w:rsidR="0040750A">
        <w:rPr>
          <w:bCs/>
        </w:rPr>
        <w:t>1</w:t>
      </w:r>
      <w:r w:rsidR="00494E2E" w:rsidRPr="002C5498">
        <w:rPr>
          <w:bCs/>
        </w:rPr>
        <w:t>,</w:t>
      </w:r>
      <w:r w:rsidR="0040750A">
        <w:rPr>
          <w:bCs/>
        </w:rPr>
        <w:t>3</w:t>
      </w:r>
      <w:r w:rsidR="00494E2E" w:rsidRPr="002C5498">
        <w:rPr>
          <w:bCs/>
        </w:rPr>
        <w:t xml:space="preserve"> % </w:t>
      </w:r>
      <w:r w:rsidR="00494E2E" w:rsidRPr="00E77CE0">
        <w:rPr>
          <w:bCs/>
        </w:rPr>
        <w:t>v 1. pololetí letošního roku.</w:t>
      </w:r>
    </w:p>
    <w:p w:rsidR="00F07026" w:rsidRDefault="00F07026" w:rsidP="00F07026">
      <w:pPr>
        <w:spacing w:line="360" w:lineRule="auto"/>
        <w:jc w:val="both"/>
        <w:rPr>
          <w:bCs/>
        </w:rPr>
      </w:pPr>
    </w:p>
    <w:p w:rsidR="009B1DB6" w:rsidRDefault="009B1DB6" w:rsidP="00F07026">
      <w:pPr>
        <w:spacing w:line="360" w:lineRule="auto"/>
        <w:jc w:val="both"/>
        <w:rPr>
          <w:bCs/>
        </w:rPr>
      </w:pPr>
    </w:p>
    <w:p w:rsidR="009B1DB6" w:rsidRPr="00E77CE0" w:rsidRDefault="009B1DB6" w:rsidP="00F07026">
      <w:pPr>
        <w:spacing w:line="360" w:lineRule="auto"/>
        <w:jc w:val="both"/>
        <w:rPr>
          <w:bCs/>
        </w:rPr>
      </w:pPr>
    </w:p>
    <w:p w:rsidR="00494E2E" w:rsidRPr="00E77CE0" w:rsidRDefault="00F07026" w:rsidP="00F07026">
      <w:pPr>
        <w:spacing w:after="200" w:line="276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1.2.1 </w:t>
      </w:r>
      <w:r w:rsidR="00494E2E" w:rsidRPr="00E77CE0">
        <w:rPr>
          <w:b/>
          <w:bCs/>
          <w:sz w:val="28"/>
          <w:szCs w:val="28"/>
        </w:rPr>
        <w:t>Poznatky ze šetření Informačního systému o průměrném výdělku</w:t>
      </w:r>
    </w:p>
    <w:p w:rsidR="00F07026" w:rsidRDefault="00F07026" w:rsidP="0037513D">
      <w:pPr>
        <w:spacing w:line="480" w:lineRule="auto"/>
        <w:jc w:val="both"/>
        <w:rPr>
          <w:bCs/>
        </w:rPr>
      </w:pPr>
    </w:p>
    <w:p w:rsidR="00494E2E" w:rsidRPr="000D69BA" w:rsidRDefault="00F07026" w:rsidP="00F07026">
      <w:pPr>
        <w:spacing w:line="360" w:lineRule="auto"/>
        <w:jc w:val="both"/>
        <w:rPr>
          <w:rFonts w:cs="Arial"/>
          <w:bCs/>
        </w:rPr>
      </w:pPr>
      <w:r>
        <w:rPr>
          <w:bCs/>
        </w:rPr>
        <w:tab/>
      </w:r>
      <w:r w:rsidR="00494E2E" w:rsidRPr="00E77CE0">
        <w:rPr>
          <w:rFonts w:cs="Arial"/>
          <w:bCs/>
        </w:rPr>
        <w:t xml:space="preserve">Dalším důležitým zdrojem informací o pracovních příjmech, resp. výdělcích jednotlivých zaměstnanců v České republice, které doplňují údaje Českého </w:t>
      </w:r>
      <w:r w:rsidR="00494E2E" w:rsidRPr="00E77CE0">
        <w:rPr>
          <w:rFonts w:cs="Arial"/>
          <w:bCs/>
        </w:rPr>
        <w:lastRenderedPageBreak/>
        <w:t xml:space="preserve">statistického úřadu (ČSÚ), jsou data získaná z pravidelného statistického šetření </w:t>
      </w:r>
      <w:r w:rsidR="00494E2E" w:rsidRPr="00147DB1">
        <w:rPr>
          <w:rFonts w:cs="Arial"/>
          <w:b/>
          <w:bCs/>
        </w:rPr>
        <w:t>„Informační systém o průměrném výdělku“</w:t>
      </w:r>
      <w:r w:rsidR="00494E2E" w:rsidRPr="00E77CE0">
        <w:rPr>
          <w:rFonts w:cs="Arial"/>
          <w:bCs/>
        </w:rPr>
        <w:t xml:space="preserve"> (ISPV). Na rozdíl od podnikového výkaznictví ČSÚ, které vychází z údajů o evidenčním počtu zaměstnanců a vyplacených mzdách za ekonomický subjekt, jehož účelem je makroekonomický pohled na mzdy, ISPV poskytuje data o mzdové úrovni jednotlivých skupin zaměstnanců i podle profesní struktury (včetně rozdělení na ženy a muže). Ve výsledcích o průměrných mzdách ČSÚ a ISPV jsou rozdíly, které vyplývají zejména z odlišné definice podnikatelské a nepodnikatelské sféry ČSÚ a mzdové a platové sféry ISPV, rozdílného způsobu </w:t>
      </w:r>
      <w:r w:rsidR="00494E2E" w:rsidRPr="000D69BA">
        <w:rPr>
          <w:rFonts w:cs="Arial"/>
          <w:bCs/>
        </w:rPr>
        <w:t>přepočtu zaměstnanců apod.</w:t>
      </w:r>
    </w:p>
    <w:p w:rsidR="00F07026" w:rsidRDefault="00F07026" w:rsidP="00F07026">
      <w:pPr>
        <w:spacing w:line="360" w:lineRule="auto"/>
        <w:jc w:val="both"/>
        <w:rPr>
          <w:rFonts w:cs="Arial"/>
          <w:bCs/>
        </w:rPr>
      </w:pPr>
    </w:p>
    <w:p w:rsidR="00494E2E" w:rsidRDefault="00F07026" w:rsidP="00F07026">
      <w:pPr>
        <w:spacing w:line="360" w:lineRule="auto"/>
        <w:jc w:val="both"/>
      </w:pPr>
      <w:r>
        <w:rPr>
          <w:rFonts w:cs="Arial"/>
          <w:bCs/>
        </w:rPr>
        <w:tab/>
      </w:r>
      <w:r w:rsidR="00494E2E" w:rsidRPr="00E77CE0">
        <w:rPr>
          <w:rFonts w:cs="Arial"/>
          <w:bCs/>
        </w:rPr>
        <w:t xml:space="preserve">Z výstupů šetření ISPV lze porovnat </w:t>
      </w:r>
      <w:r w:rsidR="00494E2E">
        <w:rPr>
          <w:rFonts w:cs="Arial"/>
          <w:bCs/>
        </w:rPr>
        <w:t xml:space="preserve">mimo jiné i </w:t>
      </w:r>
      <w:r w:rsidR="00494E2E" w:rsidRPr="00E77CE0">
        <w:rPr>
          <w:rFonts w:cs="Arial"/>
          <w:bCs/>
        </w:rPr>
        <w:t>výdělkovou úroveň žen a</w:t>
      </w:r>
      <w:r w:rsidR="00494E2E">
        <w:rPr>
          <w:rFonts w:cs="Arial"/>
          <w:bCs/>
        </w:rPr>
        <w:t> </w:t>
      </w:r>
      <w:r w:rsidR="00494E2E" w:rsidRPr="00E77CE0">
        <w:rPr>
          <w:rFonts w:cs="Arial"/>
          <w:bCs/>
        </w:rPr>
        <w:t xml:space="preserve">mužů. </w:t>
      </w:r>
      <w:r w:rsidR="00494E2E" w:rsidRPr="00E77CE0">
        <w:rPr>
          <w:rFonts w:cs="Arial"/>
          <w:b/>
          <w:bCs/>
        </w:rPr>
        <w:t>Průměrná mzda mužů</w:t>
      </w:r>
      <w:r w:rsidR="00494E2E" w:rsidRPr="00E77CE0">
        <w:rPr>
          <w:rFonts w:cs="Arial"/>
          <w:bCs/>
        </w:rPr>
        <w:t xml:space="preserve"> dosáhla v 1. pololetí 201</w:t>
      </w:r>
      <w:r w:rsidR="00494E2E">
        <w:rPr>
          <w:rFonts w:cs="Arial"/>
          <w:bCs/>
        </w:rPr>
        <w:t>5</w:t>
      </w:r>
      <w:r w:rsidR="00494E2E" w:rsidRPr="00E77CE0">
        <w:rPr>
          <w:rFonts w:cs="Arial"/>
          <w:bCs/>
        </w:rPr>
        <w:t xml:space="preserve"> výše </w:t>
      </w:r>
      <w:r w:rsidR="00494E2E">
        <w:rPr>
          <w:rFonts w:cs="Arial"/>
          <w:b/>
          <w:bCs/>
        </w:rPr>
        <w:t>30</w:t>
      </w:r>
      <w:r w:rsidR="00494E2E" w:rsidRPr="00E77CE0">
        <w:rPr>
          <w:rFonts w:cs="Arial"/>
          <w:b/>
          <w:bCs/>
        </w:rPr>
        <w:t> </w:t>
      </w:r>
      <w:r w:rsidR="00494E2E">
        <w:rPr>
          <w:rFonts w:cs="Arial"/>
          <w:b/>
          <w:bCs/>
        </w:rPr>
        <w:t>3</w:t>
      </w:r>
      <w:r w:rsidR="00494E2E" w:rsidRPr="00E77CE0">
        <w:rPr>
          <w:rFonts w:cs="Arial"/>
          <w:b/>
          <w:bCs/>
        </w:rPr>
        <w:t>0</w:t>
      </w:r>
      <w:r w:rsidR="00494E2E">
        <w:rPr>
          <w:rFonts w:cs="Arial"/>
          <w:b/>
          <w:bCs/>
        </w:rPr>
        <w:t>9</w:t>
      </w:r>
      <w:r w:rsidR="00494E2E" w:rsidRPr="00E77CE0">
        <w:rPr>
          <w:rFonts w:cs="Arial"/>
          <w:b/>
          <w:bCs/>
        </w:rPr>
        <w:t> Kč a</w:t>
      </w:r>
      <w:r w:rsidR="00494E2E">
        <w:rPr>
          <w:rFonts w:cs="Arial"/>
          <w:b/>
          <w:bCs/>
        </w:rPr>
        <w:t> </w:t>
      </w:r>
      <w:r w:rsidR="00494E2E" w:rsidRPr="00E77CE0">
        <w:rPr>
          <w:rFonts w:cs="Arial"/>
          <w:b/>
          <w:bCs/>
        </w:rPr>
        <w:t>průměrná mzda žen 2</w:t>
      </w:r>
      <w:r w:rsidR="00494E2E">
        <w:rPr>
          <w:rFonts w:cs="Arial"/>
          <w:b/>
          <w:bCs/>
        </w:rPr>
        <w:t>3</w:t>
      </w:r>
      <w:r w:rsidR="00494E2E" w:rsidRPr="00E77CE0">
        <w:rPr>
          <w:rFonts w:cs="Arial"/>
          <w:b/>
          <w:bCs/>
        </w:rPr>
        <w:t> </w:t>
      </w:r>
      <w:r w:rsidR="00494E2E">
        <w:rPr>
          <w:rFonts w:cs="Arial"/>
          <w:b/>
          <w:bCs/>
        </w:rPr>
        <w:t>544</w:t>
      </w:r>
      <w:r w:rsidR="00494E2E" w:rsidRPr="00E77CE0">
        <w:rPr>
          <w:rFonts w:cs="Arial"/>
          <w:b/>
          <w:bCs/>
        </w:rPr>
        <w:t> Kč.</w:t>
      </w:r>
      <w:r w:rsidR="00494E2E" w:rsidRPr="00E77CE0">
        <w:rPr>
          <w:rFonts w:cs="Arial"/>
          <w:bCs/>
        </w:rPr>
        <w:t xml:space="preserve"> </w:t>
      </w:r>
      <w:r w:rsidR="00494E2E" w:rsidRPr="00E83B7D">
        <w:rPr>
          <w:rFonts w:cs="Arial"/>
          <w:bCs/>
        </w:rPr>
        <w:t xml:space="preserve">Dynamika růstu průměrné mzdy </w:t>
      </w:r>
      <w:r w:rsidR="00494E2E">
        <w:rPr>
          <w:rFonts w:cs="Arial"/>
          <w:bCs/>
        </w:rPr>
        <w:t>žen</w:t>
      </w:r>
      <w:r w:rsidR="00494E2E" w:rsidRPr="00E83B7D">
        <w:rPr>
          <w:rFonts w:cs="Arial"/>
          <w:bCs/>
        </w:rPr>
        <w:t xml:space="preserve"> byla v hodnoceném období o 0,</w:t>
      </w:r>
      <w:r w:rsidR="00494E2E">
        <w:rPr>
          <w:rFonts w:cs="Arial"/>
          <w:bCs/>
        </w:rPr>
        <w:t>2</w:t>
      </w:r>
      <w:r w:rsidR="00494E2E" w:rsidRPr="00E83B7D">
        <w:rPr>
          <w:rFonts w:cs="Arial"/>
          <w:bCs/>
        </w:rPr>
        <w:t xml:space="preserve"> p. b. vyšší a činila </w:t>
      </w:r>
      <w:r w:rsidR="00494E2E">
        <w:rPr>
          <w:rFonts w:cs="Arial"/>
          <w:bCs/>
        </w:rPr>
        <w:t>3</w:t>
      </w:r>
      <w:r w:rsidR="00494E2E" w:rsidRPr="00E83B7D">
        <w:rPr>
          <w:rFonts w:cs="Arial"/>
          <w:bCs/>
        </w:rPr>
        <w:t>,</w:t>
      </w:r>
      <w:r w:rsidR="00494E2E">
        <w:rPr>
          <w:rFonts w:cs="Arial"/>
          <w:bCs/>
        </w:rPr>
        <w:t>1</w:t>
      </w:r>
      <w:r w:rsidR="00494E2E" w:rsidRPr="00E83B7D">
        <w:rPr>
          <w:rFonts w:cs="Arial"/>
          <w:bCs/>
        </w:rPr>
        <w:t xml:space="preserve"> %. Došlo tak ke </w:t>
      </w:r>
      <w:r w:rsidR="00494E2E">
        <w:rPr>
          <w:rFonts w:cs="Arial"/>
          <w:bCs/>
        </w:rPr>
        <w:t>snížení</w:t>
      </w:r>
      <w:r w:rsidR="00494E2E" w:rsidRPr="00E83B7D">
        <w:rPr>
          <w:rFonts w:cs="Arial"/>
          <w:bCs/>
        </w:rPr>
        <w:t xml:space="preserve"> rozdílu v průměrném výdělku mužů a žen o </w:t>
      </w:r>
      <w:r w:rsidR="00494E2E">
        <w:rPr>
          <w:rFonts w:cs="Arial"/>
          <w:bCs/>
        </w:rPr>
        <w:t>149</w:t>
      </w:r>
      <w:r w:rsidR="00494E2E" w:rsidRPr="00E83B7D">
        <w:rPr>
          <w:rFonts w:cs="Arial"/>
          <w:bCs/>
        </w:rPr>
        <w:t> Kč na 6 </w:t>
      </w:r>
      <w:r w:rsidR="00494E2E">
        <w:rPr>
          <w:rFonts w:cs="Arial"/>
          <w:bCs/>
        </w:rPr>
        <w:t>765</w:t>
      </w:r>
      <w:r w:rsidR="00494E2E" w:rsidRPr="00E83B7D">
        <w:rPr>
          <w:rFonts w:cs="Arial"/>
          <w:bCs/>
        </w:rPr>
        <w:t xml:space="preserve"> Kč, </w:t>
      </w:r>
      <w:r w:rsidR="00494E2E" w:rsidRPr="00E83B7D">
        <w:rPr>
          <w:rFonts w:cs="Arial"/>
          <w:b/>
          <w:bCs/>
        </w:rPr>
        <w:t xml:space="preserve">relace průměrné mzdy žen k průměrné mzdě mužů </w:t>
      </w:r>
      <w:r w:rsidR="00494E2E" w:rsidRPr="00E83B7D">
        <w:rPr>
          <w:rFonts w:cs="Arial"/>
          <w:bCs/>
        </w:rPr>
        <w:t xml:space="preserve">dosáhla </w:t>
      </w:r>
      <w:r w:rsidR="00494E2E" w:rsidRPr="00E83B7D">
        <w:rPr>
          <w:rFonts w:cs="Arial"/>
          <w:b/>
          <w:bCs/>
        </w:rPr>
        <w:t>7</w:t>
      </w:r>
      <w:r w:rsidR="00494E2E">
        <w:rPr>
          <w:rFonts w:cs="Arial"/>
          <w:b/>
          <w:bCs/>
        </w:rPr>
        <w:t>7</w:t>
      </w:r>
      <w:r w:rsidR="00494E2E" w:rsidRPr="00E83B7D">
        <w:rPr>
          <w:rFonts w:cs="Arial"/>
          <w:b/>
          <w:bCs/>
        </w:rPr>
        <w:t>,</w:t>
      </w:r>
      <w:r w:rsidR="00494E2E">
        <w:rPr>
          <w:rFonts w:cs="Arial"/>
          <w:b/>
          <w:bCs/>
        </w:rPr>
        <w:t>7</w:t>
      </w:r>
      <w:r w:rsidR="00494E2E" w:rsidRPr="00E83B7D">
        <w:rPr>
          <w:rFonts w:cs="Arial"/>
          <w:b/>
          <w:bCs/>
        </w:rPr>
        <w:t> %</w:t>
      </w:r>
      <w:r w:rsidR="00494E2E" w:rsidRPr="00E83B7D">
        <w:rPr>
          <w:rFonts w:cs="Arial"/>
          <w:bCs/>
        </w:rPr>
        <w:t xml:space="preserve"> a byla meziročně o 0,</w:t>
      </w:r>
      <w:r w:rsidR="00494E2E">
        <w:rPr>
          <w:rFonts w:cs="Arial"/>
          <w:bCs/>
        </w:rPr>
        <w:t>2</w:t>
      </w:r>
      <w:r w:rsidR="00494E2E" w:rsidRPr="00E83B7D">
        <w:rPr>
          <w:rFonts w:cs="Arial"/>
          <w:bCs/>
        </w:rPr>
        <w:t xml:space="preserve"> p. b. </w:t>
      </w:r>
      <w:r w:rsidR="00494E2E">
        <w:rPr>
          <w:rFonts w:cs="Arial"/>
          <w:bCs/>
        </w:rPr>
        <w:t>vyšší</w:t>
      </w:r>
      <w:r w:rsidR="00494E2E" w:rsidRPr="00E83B7D">
        <w:rPr>
          <w:rFonts w:cs="Arial"/>
          <w:bCs/>
        </w:rPr>
        <w:t xml:space="preserve"> než v 1. pololetí předchozího roku.</w:t>
      </w:r>
      <w:r w:rsidR="00494E2E" w:rsidRPr="00E77CE0">
        <w:rPr>
          <w:rFonts w:cs="Arial"/>
          <w:b/>
        </w:rPr>
        <w:t xml:space="preserve"> </w:t>
      </w:r>
      <w:r w:rsidR="00494E2E" w:rsidRPr="00E77CE0">
        <w:rPr>
          <w:rFonts w:cs="Arial"/>
          <w:bCs/>
        </w:rPr>
        <w:t xml:space="preserve">Hodnota </w:t>
      </w:r>
      <w:r w:rsidR="00494E2E" w:rsidRPr="00E77CE0">
        <w:rPr>
          <w:rFonts w:cs="Arial"/>
          <w:b/>
          <w:bCs/>
        </w:rPr>
        <w:t>mediánu mezd mužů</w:t>
      </w:r>
      <w:r w:rsidR="00494E2E" w:rsidRPr="00E77CE0">
        <w:rPr>
          <w:rFonts w:cs="Arial"/>
          <w:bCs/>
        </w:rPr>
        <w:t xml:space="preserve"> činila ve sledovaném období </w:t>
      </w:r>
      <w:r w:rsidR="00494E2E" w:rsidRPr="00E77CE0">
        <w:rPr>
          <w:rFonts w:cs="Arial"/>
          <w:b/>
          <w:bCs/>
        </w:rPr>
        <w:t>2</w:t>
      </w:r>
      <w:r w:rsidR="00494E2E">
        <w:rPr>
          <w:rFonts w:cs="Arial"/>
          <w:b/>
          <w:bCs/>
        </w:rPr>
        <w:t>5</w:t>
      </w:r>
      <w:r w:rsidR="00494E2E" w:rsidRPr="00E77CE0">
        <w:rPr>
          <w:rFonts w:cs="Arial"/>
          <w:b/>
          <w:bCs/>
        </w:rPr>
        <w:t> </w:t>
      </w:r>
      <w:r w:rsidR="00494E2E">
        <w:rPr>
          <w:rFonts w:cs="Arial"/>
          <w:b/>
          <w:bCs/>
        </w:rPr>
        <w:t>001</w:t>
      </w:r>
      <w:r w:rsidR="00494E2E" w:rsidRPr="00E77CE0">
        <w:rPr>
          <w:rFonts w:cs="Arial"/>
          <w:b/>
          <w:bCs/>
        </w:rPr>
        <w:t> Kč</w:t>
      </w:r>
      <w:r w:rsidR="00494E2E" w:rsidRPr="00E77CE0">
        <w:rPr>
          <w:rFonts w:cs="Arial"/>
          <w:bCs/>
        </w:rPr>
        <w:t xml:space="preserve"> a </w:t>
      </w:r>
      <w:r w:rsidR="00494E2E" w:rsidRPr="00E77CE0">
        <w:rPr>
          <w:rFonts w:cs="Arial"/>
          <w:b/>
          <w:bCs/>
        </w:rPr>
        <w:t xml:space="preserve">mediánu mezd žen </w:t>
      </w:r>
      <w:r w:rsidR="00494E2E">
        <w:rPr>
          <w:rFonts w:cs="Arial"/>
          <w:b/>
          <w:bCs/>
        </w:rPr>
        <w:t>20</w:t>
      </w:r>
      <w:r w:rsidR="00494E2E" w:rsidRPr="00E77CE0">
        <w:rPr>
          <w:rFonts w:cs="Arial"/>
          <w:b/>
          <w:bCs/>
        </w:rPr>
        <w:t> 8</w:t>
      </w:r>
      <w:r w:rsidR="00494E2E">
        <w:rPr>
          <w:rFonts w:cs="Arial"/>
          <w:b/>
          <w:bCs/>
        </w:rPr>
        <w:t>50</w:t>
      </w:r>
      <w:r w:rsidR="00494E2E" w:rsidRPr="00E77CE0">
        <w:rPr>
          <w:rFonts w:cs="Arial"/>
          <w:b/>
          <w:bCs/>
        </w:rPr>
        <w:t> Kč</w:t>
      </w:r>
      <w:r w:rsidR="00494E2E" w:rsidRPr="00822A5F">
        <w:rPr>
          <w:rFonts w:cs="Arial"/>
          <w:b/>
          <w:bCs/>
        </w:rPr>
        <w:t>.</w:t>
      </w:r>
      <w:r w:rsidR="00494E2E" w:rsidRPr="00E77CE0">
        <w:rPr>
          <w:rFonts w:cs="Arial"/>
          <w:bCs/>
        </w:rPr>
        <w:t xml:space="preserve"> </w:t>
      </w:r>
      <w:r w:rsidR="00494E2E" w:rsidRPr="00E77CE0">
        <w:rPr>
          <w:rFonts w:cs="Arial"/>
          <w:b/>
        </w:rPr>
        <w:t>Porovnání</w:t>
      </w:r>
      <w:r w:rsidR="00494E2E" w:rsidRPr="00E77CE0">
        <w:rPr>
          <w:rFonts w:cs="Arial"/>
        </w:rPr>
        <w:t xml:space="preserve"> založené na posouzení vývoje </w:t>
      </w:r>
      <w:r w:rsidR="00494E2E" w:rsidRPr="00E77CE0">
        <w:rPr>
          <w:rFonts w:cs="Arial"/>
          <w:b/>
        </w:rPr>
        <w:t>relace mediánové</w:t>
      </w:r>
      <w:r w:rsidR="00494E2E" w:rsidRPr="00E77CE0">
        <w:rPr>
          <w:rFonts w:cs="Arial"/>
        </w:rPr>
        <w:t xml:space="preserve"> </w:t>
      </w:r>
      <w:r w:rsidR="00494E2E" w:rsidRPr="00E77CE0">
        <w:rPr>
          <w:rFonts w:cs="Arial"/>
          <w:b/>
        </w:rPr>
        <w:t>hodnoty výdělků žen a mužů</w:t>
      </w:r>
      <w:r w:rsidR="00494E2E" w:rsidRPr="00E77CE0">
        <w:rPr>
          <w:rFonts w:cs="Arial"/>
        </w:rPr>
        <w:t xml:space="preserve"> představovalo </w:t>
      </w:r>
      <w:r w:rsidR="00494E2E">
        <w:rPr>
          <w:rFonts w:cs="Arial"/>
          <w:b/>
        </w:rPr>
        <w:t>83</w:t>
      </w:r>
      <w:r w:rsidR="00494E2E" w:rsidRPr="00E77CE0">
        <w:rPr>
          <w:rFonts w:cs="Arial"/>
          <w:b/>
        </w:rPr>
        <w:t>,</w:t>
      </w:r>
      <w:r w:rsidR="00494E2E">
        <w:rPr>
          <w:rFonts w:cs="Arial"/>
          <w:b/>
        </w:rPr>
        <w:t>4</w:t>
      </w:r>
      <w:r w:rsidR="00494E2E" w:rsidRPr="00E77CE0">
        <w:rPr>
          <w:rFonts w:cs="Arial"/>
          <w:b/>
        </w:rPr>
        <w:t> %</w:t>
      </w:r>
      <w:r w:rsidR="00494E2E" w:rsidRPr="00E77CE0">
        <w:rPr>
          <w:rFonts w:cs="Arial"/>
        </w:rPr>
        <w:t xml:space="preserve"> (absolutní rozdíl </w:t>
      </w:r>
      <w:r w:rsidR="00494E2E">
        <w:rPr>
          <w:rFonts w:cs="Arial"/>
        </w:rPr>
        <w:t>4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151</w:t>
      </w:r>
      <w:r w:rsidR="00494E2E" w:rsidRPr="00E77CE0">
        <w:rPr>
          <w:rFonts w:cs="Arial"/>
        </w:rPr>
        <w:t> Kč, což bylo o 2 61</w:t>
      </w:r>
      <w:r w:rsidR="00494E2E">
        <w:rPr>
          <w:rFonts w:cs="Arial"/>
        </w:rPr>
        <w:t>4</w:t>
      </w:r>
      <w:r w:rsidR="00494E2E" w:rsidRPr="00E77CE0">
        <w:rPr>
          <w:rFonts w:cs="Arial"/>
        </w:rPr>
        <w:t xml:space="preserve"> Kč méně než v případě průměru). Mzdy žen jsou nejen v průměru nižší než mzdy mužů, ale jsou také více nivelizované. </w:t>
      </w:r>
      <w:r w:rsidR="00494E2E">
        <w:t xml:space="preserve">Z tohoto srovnání však </w:t>
      </w:r>
      <w:r w:rsidR="00494E2E">
        <w:rPr>
          <w:b/>
          <w:bCs/>
        </w:rPr>
        <w:t>nelze přímo usuzovat na diskriminaci žen v oblasti výdělků</w:t>
      </w:r>
      <w:r>
        <w:rPr>
          <w:b/>
          <w:bCs/>
        </w:rPr>
        <w:t>,</w:t>
      </w:r>
      <w:r w:rsidR="00494E2E">
        <w:t xml:space="preserve"> neboť jejich úroveň podle pohlaví je ovlivněna řadou faktorů např.</w:t>
      </w:r>
      <w:r>
        <w:t> </w:t>
      </w:r>
      <w:r w:rsidR="00494E2E">
        <w:t>strukturou zaměstnanců podle odvětví, profesí, pracovního zařazení (ženy jsou obecně méně zastoupeny na lépe placených místech), vzdělání, věku (dochází k přerušení pracovní kariéry žen v souvislosti s péčí o děti či jiné blízké osoby) a dále i rozsahem čerpání fondu pracovní doby vzhledem k potřebě slaďování zaměstnání a soukromého života (ženy mají nižší objem přesčasové práce placené vyšší sazbou) atd.</w:t>
      </w:r>
    </w:p>
    <w:p w:rsidR="0026628D" w:rsidRDefault="0026628D" w:rsidP="00F07026">
      <w:pPr>
        <w:spacing w:line="360" w:lineRule="auto"/>
        <w:jc w:val="both"/>
      </w:pPr>
    </w:p>
    <w:p w:rsidR="00494E2E" w:rsidRDefault="00F07026" w:rsidP="00F07026">
      <w:pPr>
        <w:spacing w:line="360" w:lineRule="auto"/>
        <w:jc w:val="both"/>
        <w:rPr>
          <w:rFonts w:cs="Arial"/>
        </w:rPr>
      </w:pPr>
      <w:r>
        <w:tab/>
      </w:r>
      <w:r w:rsidR="00494E2E" w:rsidRPr="00E77CE0">
        <w:rPr>
          <w:rFonts w:cs="Arial"/>
          <w:bCs/>
        </w:rPr>
        <w:t>V zásadě</w:t>
      </w:r>
      <w:r w:rsidR="00494E2E" w:rsidRPr="00E77CE0">
        <w:rPr>
          <w:rFonts w:cs="Arial"/>
          <w:b/>
          <w:bCs/>
        </w:rPr>
        <w:t xml:space="preserve"> stagnac</w:t>
      </w:r>
      <w:r w:rsidR="00494E2E">
        <w:rPr>
          <w:rFonts w:cs="Arial"/>
          <w:b/>
          <w:bCs/>
        </w:rPr>
        <w:t>i</w:t>
      </w:r>
      <w:r w:rsidR="00494E2E" w:rsidRPr="00E77CE0">
        <w:rPr>
          <w:rFonts w:cs="Arial"/>
          <w:b/>
          <w:bCs/>
        </w:rPr>
        <w:t xml:space="preserve"> rozsahu mzdové diferenciace</w:t>
      </w:r>
      <w:r w:rsidR="00494E2E" w:rsidRPr="00E77CE0">
        <w:rPr>
          <w:rFonts w:cs="Arial"/>
        </w:rPr>
        <w:t xml:space="preserve"> na nejnižší </w:t>
      </w:r>
      <w:r w:rsidR="00494E2E" w:rsidRPr="00E77CE0">
        <w:rPr>
          <w:rFonts w:cs="Arial"/>
          <w:b/>
          <w:bCs/>
        </w:rPr>
        <w:t>úrovni jednotlivých</w:t>
      </w:r>
      <w:r w:rsidR="00494E2E" w:rsidRPr="00E77CE0">
        <w:rPr>
          <w:rFonts w:cs="Arial"/>
        </w:rPr>
        <w:t xml:space="preserve"> </w:t>
      </w:r>
      <w:r w:rsidR="00494E2E" w:rsidRPr="00E77CE0">
        <w:rPr>
          <w:rFonts w:cs="Arial"/>
          <w:b/>
          <w:bCs/>
        </w:rPr>
        <w:t xml:space="preserve">zaměstnanců </w:t>
      </w:r>
      <w:r w:rsidR="00494E2E" w:rsidRPr="00E77CE0">
        <w:rPr>
          <w:rFonts w:cs="Arial"/>
          <w:b/>
        </w:rPr>
        <w:t>signalizuje vývoj hodnoty většiny základních diferenciačních charakteristik</w:t>
      </w:r>
      <w:r w:rsidR="00494E2E" w:rsidRPr="00E77CE0">
        <w:rPr>
          <w:rFonts w:cs="Arial"/>
        </w:rPr>
        <w:t xml:space="preserve"> popsaných na výsledcích ukazatelů 1. pololetí 201</w:t>
      </w:r>
      <w:r w:rsidR="00494E2E">
        <w:rPr>
          <w:rFonts w:cs="Arial"/>
        </w:rPr>
        <w:t>4</w:t>
      </w:r>
      <w:r w:rsidR="00494E2E" w:rsidRPr="00E77CE0">
        <w:rPr>
          <w:rFonts w:cs="Arial"/>
        </w:rPr>
        <w:t xml:space="preserve"> a 201</w:t>
      </w:r>
      <w:r w:rsidR="00494E2E">
        <w:rPr>
          <w:rFonts w:cs="Arial"/>
        </w:rPr>
        <w:t>5</w:t>
      </w:r>
      <w:r w:rsidR="00494E2E" w:rsidRPr="00E77CE0">
        <w:rPr>
          <w:rFonts w:cs="Arial"/>
        </w:rPr>
        <w:t xml:space="preserve"> v následující tabulce (vlastní propočty MPSV z dat vybraných organizací).</w:t>
      </w:r>
    </w:p>
    <w:tbl>
      <w:tblPr>
        <w:tblW w:w="8601" w:type="dxa"/>
        <w:jc w:val="center"/>
        <w:tblCellMar>
          <w:left w:w="0" w:type="dxa"/>
          <w:right w:w="0" w:type="dxa"/>
        </w:tblCellMar>
        <w:tblLook w:val="0000"/>
      </w:tblPr>
      <w:tblGrid>
        <w:gridCol w:w="5081"/>
        <w:gridCol w:w="1760"/>
        <w:gridCol w:w="1760"/>
      </w:tblGrid>
      <w:tr w:rsidR="00494E2E" w:rsidRPr="00E77CE0" w:rsidTr="00DB24B7">
        <w:trPr>
          <w:trHeight w:val="402"/>
          <w:jc w:val="center"/>
        </w:trPr>
        <w:tc>
          <w:tcPr>
            <w:tcW w:w="5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lastRenderedPageBreak/>
              <w:t>Ukazatel</w:t>
            </w:r>
          </w:p>
        </w:tc>
        <w:tc>
          <w:tcPr>
            <w:tcW w:w="17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>1. pololetí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>1. pololetí 201</w:t>
            </w:r>
            <w:r>
              <w:rPr>
                <w:rFonts w:cs="Arial"/>
                <w:sz w:val="20"/>
              </w:rPr>
              <w:t>5</w:t>
            </w:r>
          </w:p>
        </w:tc>
      </w:tr>
      <w:tr w:rsidR="00494E2E" w:rsidRPr="00E77CE0" w:rsidTr="00DB24B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rPr>
                <w:rFonts w:cs="Arial"/>
                <w:sz w:val="20"/>
                <w:szCs w:val="24"/>
              </w:rPr>
            </w:pPr>
            <w:r w:rsidRPr="00E77CE0">
              <w:rPr>
                <w:rFonts w:cs="Arial"/>
                <w:sz w:val="20"/>
                <w:szCs w:val="24"/>
              </w:rPr>
              <w:t xml:space="preserve"> Rozdíl mezi průměrným výdělkem a mediánem (Kč)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E77CE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E77CE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168</w:t>
            </w:r>
          </w:p>
        </w:tc>
      </w:tr>
      <w:tr w:rsidR="00494E2E" w:rsidRPr="00E77CE0" w:rsidTr="00DB24B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Podíl zaměstnanců s nižší než průměrnou mzdou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 67,4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 67,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494E2E" w:rsidRPr="00E77CE0" w:rsidTr="00DB24B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Decilový poměr (9. decil : 1. decil)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 3,</w:t>
            </w:r>
            <w:r>
              <w:rPr>
                <w:rFonts w:cs="Arial"/>
                <w:sz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 3,</w:t>
            </w:r>
            <w:r>
              <w:rPr>
                <w:rFonts w:cs="Arial"/>
                <w:sz w:val="20"/>
              </w:rPr>
              <w:t>5</w:t>
            </w:r>
            <w:r w:rsidRPr="00E77CE0">
              <w:rPr>
                <w:rFonts w:cs="Arial"/>
                <w:sz w:val="20"/>
              </w:rPr>
              <w:t>3</w:t>
            </w:r>
          </w:p>
        </w:tc>
      </w:tr>
      <w:tr w:rsidR="00494E2E" w:rsidRPr="00E77CE0" w:rsidTr="00DB24B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Variační koeficient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    8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    8</w:t>
            </w:r>
            <w:r>
              <w:rPr>
                <w:rFonts w:cs="Arial"/>
                <w:sz w:val="20"/>
              </w:rPr>
              <w:t>3</w:t>
            </w:r>
          </w:p>
        </w:tc>
      </w:tr>
      <w:tr w:rsidR="00494E2E" w:rsidRPr="00E77CE0" w:rsidTr="00DB24B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</w:t>
            </w:r>
            <w:proofErr w:type="spellStart"/>
            <w:r w:rsidRPr="00E77CE0">
              <w:rPr>
                <w:rFonts w:cs="Arial"/>
                <w:sz w:val="20"/>
              </w:rPr>
              <w:t>Giniho</w:t>
            </w:r>
            <w:proofErr w:type="spellEnd"/>
            <w:r w:rsidRPr="00E77CE0">
              <w:rPr>
                <w:rFonts w:cs="Arial"/>
                <w:sz w:val="20"/>
              </w:rPr>
              <w:t xml:space="preserve"> koeficient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 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 0,30</w:t>
            </w:r>
          </w:p>
        </w:tc>
      </w:tr>
      <w:tr w:rsidR="00494E2E" w:rsidRPr="00E77CE0" w:rsidTr="00DB24B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</w:t>
            </w:r>
            <w:proofErr w:type="spellStart"/>
            <w:r w:rsidRPr="00E77CE0">
              <w:rPr>
                <w:rFonts w:cs="Arial"/>
                <w:sz w:val="20"/>
              </w:rPr>
              <w:t>Paretův</w:t>
            </w:r>
            <w:proofErr w:type="spellEnd"/>
            <w:r w:rsidRPr="00E77CE0">
              <w:rPr>
                <w:rFonts w:cs="Arial"/>
                <w:sz w:val="20"/>
              </w:rPr>
              <w:t xml:space="preserve"> koeficient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0,38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E2E" w:rsidRPr="00E77CE0" w:rsidRDefault="00494E2E" w:rsidP="00DB24B7">
            <w:pPr>
              <w:jc w:val="center"/>
              <w:rPr>
                <w:rFonts w:cs="Arial"/>
                <w:sz w:val="20"/>
              </w:rPr>
            </w:pPr>
            <w:r w:rsidRPr="00E77CE0">
              <w:rPr>
                <w:rFonts w:cs="Arial"/>
                <w:sz w:val="20"/>
              </w:rPr>
              <w:t xml:space="preserve">  0,38</w:t>
            </w:r>
          </w:p>
        </w:tc>
      </w:tr>
    </w:tbl>
    <w:p w:rsidR="00494E2E" w:rsidRDefault="00494E2E" w:rsidP="00494E2E">
      <w:pPr>
        <w:spacing w:line="360" w:lineRule="auto"/>
        <w:jc w:val="both"/>
        <w:rPr>
          <w:rFonts w:cs="Arial"/>
        </w:rPr>
      </w:pPr>
    </w:p>
    <w:p w:rsidR="0037513D" w:rsidRPr="00E77CE0" w:rsidRDefault="0037513D" w:rsidP="00494E2E">
      <w:pPr>
        <w:spacing w:line="360" w:lineRule="auto"/>
        <w:jc w:val="both"/>
        <w:rPr>
          <w:rFonts w:cs="Arial"/>
        </w:rPr>
      </w:pPr>
    </w:p>
    <w:p w:rsidR="00494E2E" w:rsidRDefault="00F07026" w:rsidP="00F07026">
      <w:pPr>
        <w:spacing w:line="360" w:lineRule="auto"/>
        <w:jc w:val="both"/>
        <w:rPr>
          <w:rFonts w:cs="Arial"/>
        </w:rPr>
      </w:pPr>
      <w:r>
        <w:tab/>
      </w:r>
      <w:r w:rsidR="00494E2E" w:rsidRPr="00E77CE0">
        <w:rPr>
          <w:rFonts w:cs="Arial"/>
          <w:b/>
          <w:bCs/>
        </w:rPr>
        <w:t xml:space="preserve">Podíl zaměstnanců s </w:t>
      </w:r>
      <w:r w:rsidR="00494E2E" w:rsidRPr="00E77CE0">
        <w:rPr>
          <w:rFonts w:cs="Arial"/>
          <w:b/>
        </w:rPr>
        <w:t xml:space="preserve">nižším než průměrným výdělkem z celkového počtu zaměstnanců </w:t>
      </w:r>
      <w:r w:rsidR="00494E2E" w:rsidRPr="00E77CE0">
        <w:rPr>
          <w:rFonts w:cs="Arial"/>
          <w:bCs/>
        </w:rPr>
        <w:t>(</w:t>
      </w:r>
      <w:r w:rsidR="00494E2E" w:rsidRPr="00E77CE0">
        <w:rPr>
          <w:rFonts w:cs="Arial"/>
        </w:rPr>
        <w:t>oproti stejnému období předchozího roku) se snížil o 0,</w:t>
      </w:r>
      <w:r w:rsidR="00494E2E">
        <w:rPr>
          <w:rFonts w:cs="Arial"/>
        </w:rPr>
        <w:t>2</w:t>
      </w:r>
      <w:r w:rsidR="00494E2E" w:rsidRPr="00E77CE0">
        <w:rPr>
          <w:rFonts w:cs="Arial"/>
        </w:rPr>
        <w:t> p.</w:t>
      </w:r>
      <w:r w:rsidR="00494E2E">
        <w:rPr>
          <w:rFonts w:cs="Arial"/>
        </w:rPr>
        <w:t> </w:t>
      </w:r>
      <w:r w:rsidR="00494E2E" w:rsidRPr="00E77CE0">
        <w:rPr>
          <w:rFonts w:cs="Arial"/>
        </w:rPr>
        <w:t>b. na hodnotu</w:t>
      </w:r>
      <w:r w:rsidR="00494E2E" w:rsidRPr="00E77CE0">
        <w:rPr>
          <w:rFonts w:cs="Arial"/>
          <w:b/>
        </w:rPr>
        <w:t xml:space="preserve"> 67,</w:t>
      </w:r>
      <w:r w:rsidR="00494E2E">
        <w:rPr>
          <w:rFonts w:cs="Arial"/>
          <w:b/>
        </w:rPr>
        <w:t>2</w:t>
      </w:r>
      <w:r w:rsidR="00494E2E" w:rsidRPr="00E77CE0">
        <w:rPr>
          <w:rFonts w:cs="Arial"/>
          <w:b/>
        </w:rPr>
        <w:t> %</w:t>
      </w:r>
      <w:r>
        <w:rPr>
          <w:rFonts w:cs="Arial"/>
          <w:b/>
        </w:rPr>
        <w:t>.</w:t>
      </w:r>
      <w:r w:rsidR="00494E2E" w:rsidRPr="00E77CE0">
        <w:rPr>
          <w:rFonts w:cs="Arial"/>
          <w:bCs/>
        </w:rPr>
        <w:t xml:space="preserve"> </w:t>
      </w:r>
      <w:r w:rsidR="00494E2E" w:rsidRPr="00E77CE0">
        <w:rPr>
          <w:rFonts w:cs="Arial"/>
        </w:rPr>
        <w:t>Opačně se</w:t>
      </w:r>
      <w:r w:rsidR="00494E2E" w:rsidRPr="00E77CE0">
        <w:rPr>
          <w:rFonts w:cs="Arial"/>
          <w:b/>
        </w:rPr>
        <w:t xml:space="preserve"> vyvíjel </w:t>
      </w:r>
      <w:r w:rsidR="00494E2E" w:rsidRPr="00E77CE0">
        <w:rPr>
          <w:rFonts w:cs="Arial"/>
        </w:rPr>
        <w:t xml:space="preserve">o něco </w:t>
      </w:r>
      <w:r w:rsidR="00494E2E" w:rsidRPr="00E77CE0">
        <w:rPr>
          <w:rFonts w:cs="Arial"/>
          <w:b/>
        </w:rPr>
        <w:t>rychlejší růst vyšších výdělků.</w:t>
      </w:r>
      <w:r w:rsidR="00494E2E" w:rsidRPr="00E77CE0">
        <w:rPr>
          <w:rFonts w:cs="Arial"/>
        </w:rPr>
        <w:t xml:space="preserve"> Dynamika výdělku v 9.</w:t>
      </w:r>
      <w:r w:rsidR="00494E2E">
        <w:rPr>
          <w:rFonts w:cs="Arial"/>
        </w:rPr>
        <w:t> </w:t>
      </w:r>
      <w:r w:rsidR="00494E2E" w:rsidRPr="00E77CE0">
        <w:rPr>
          <w:rFonts w:cs="Arial"/>
        </w:rPr>
        <w:t>decilu převýšila v 1.</w:t>
      </w:r>
      <w:r w:rsidR="00494E2E">
        <w:rPr>
          <w:rFonts w:cs="Arial"/>
        </w:rPr>
        <w:t> </w:t>
      </w:r>
      <w:r w:rsidR="00494E2E" w:rsidRPr="00E77CE0">
        <w:rPr>
          <w:rFonts w:cs="Arial"/>
        </w:rPr>
        <w:t xml:space="preserve">pololetí </w:t>
      </w:r>
      <w:r w:rsidR="00494E2E">
        <w:rPr>
          <w:rFonts w:cs="Arial"/>
        </w:rPr>
        <w:t xml:space="preserve">2015 </w:t>
      </w:r>
      <w:r w:rsidR="00494E2E" w:rsidRPr="00E77CE0">
        <w:rPr>
          <w:rFonts w:cs="Arial"/>
        </w:rPr>
        <w:t>meziročně o </w:t>
      </w:r>
      <w:r w:rsidR="00494E2E">
        <w:rPr>
          <w:rFonts w:cs="Arial"/>
        </w:rPr>
        <w:t>0</w:t>
      </w:r>
      <w:r w:rsidR="00494E2E" w:rsidRPr="00E77CE0">
        <w:rPr>
          <w:rFonts w:cs="Arial"/>
        </w:rPr>
        <w:t>,</w:t>
      </w:r>
      <w:r w:rsidR="00494E2E">
        <w:rPr>
          <w:rFonts w:cs="Arial"/>
        </w:rPr>
        <w:t>3 </w:t>
      </w:r>
      <w:r w:rsidR="00494E2E" w:rsidRPr="00E77CE0">
        <w:rPr>
          <w:rFonts w:cs="Arial"/>
        </w:rPr>
        <w:t>p.</w:t>
      </w:r>
      <w:r w:rsidR="00494E2E">
        <w:rPr>
          <w:rFonts w:cs="Arial"/>
        </w:rPr>
        <w:t> </w:t>
      </w:r>
      <w:r w:rsidR="00494E2E" w:rsidRPr="00E77CE0">
        <w:rPr>
          <w:rFonts w:cs="Arial"/>
        </w:rPr>
        <w:t>b. nárůst výdělku v 1. decilu.</w:t>
      </w:r>
    </w:p>
    <w:p w:rsidR="00F07026" w:rsidRDefault="00F07026" w:rsidP="00F07026">
      <w:pPr>
        <w:spacing w:line="360" w:lineRule="auto"/>
        <w:jc w:val="both"/>
        <w:rPr>
          <w:rFonts w:cs="Arial"/>
        </w:rPr>
      </w:pPr>
    </w:p>
    <w:p w:rsidR="00494E2E" w:rsidRDefault="00F07026" w:rsidP="00F07026">
      <w:pPr>
        <w:spacing w:line="360" w:lineRule="auto"/>
        <w:jc w:val="both"/>
        <w:rPr>
          <w:rFonts w:cs="Arial"/>
          <w:bCs/>
        </w:rPr>
      </w:pPr>
      <w:r>
        <w:rPr>
          <w:rFonts w:cs="Arial"/>
        </w:rPr>
        <w:tab/>
      </w:r>
      <w:r w:rsidR="00494E2E" w:rsidRPr="00E77CE0">
        <w:rPr>
          <w:rFonts w:cs="Arial"/>
          <w:b/>
          <w:bCs/>
        </w:rPr>
        <w:t>Medián</w:t>
      </w:r>
      <w:r w:rsidR="00494E2E" w:rsidRPr="00E77CE0">
        <w:rPr>
          <w:rFonts w:cs="Arial"/>
          <w:bCs/>
        </w:rPr>
        <w:t xml:space="preserve"> </w:t>
      </w:r>
      <w:r w:rsidR="00494E2E" w:rsidRPr="00E77CE0">
        <w:rPr>
          <w:rFonts w:cs="Arial"/>
          <w:b/>
          <w:bCs/>
        </w:rPr>
        <w:t>mzdy činil</w:t>
      </w:r>
      <w:r w:rsidR="00494E2E" w:rsidRPr="00E77CE0">
        <w:rPr>
          <w:rFonts w:cs="Arial"/>
          <w:bCs/>
        </w:rPr>
        <w:t xml:space="preserve"> v 1. pololetí letošního roku </w:t>
      </w:r>
      <w:r w:rsidR="00494E2E" w:rsidRPr="00E77CE0">
        <w:rPr>
          <w:rFonts w:cs="Arial"/>
          <w:b/>
          <w:bCs/>
        </w:rPr>
        <w:t>2</w:t>
      </w:r>
      <w:r w:rsidR="00494E2E">
        <w:rPr>
          <w:rFonts w:cs="Arial"/>
          <w:b/>
          <w:bCs/>
        </w:rPr>
        <w:t>3</w:t>
      </w:r>
      <w:r w:rsidR="00494E2E" w:rsidRPr="00E77CE0">
        <w:rPr>
          <w:rFonts w:cs="Arial"/>
          <w:b/>
          <w:bCs/>
        </w:rPr>
        <w:t> </w:t>
      </w:r>
      <w:r w:rsidR="00494E2E">
        <w:rPr>
          <w:rFonts w:cs="Arial"/>
          <w:b/>
          <w:bCs/>
        </w:rPr>
        <w:t>101</w:t>
      </w:r>
      <w:r w:rsidR="00494E2E" w:rsidRPr="00E77CE0">
        <w:rPr>
          <w:rFonts w:cs="Arial"/>
          <w:b/>
          <w:bCs/>
        </w:rPr>
        <w:t xml:space="preserve"> Kč </w:t>
      </w:r>
      <w:r w:rsidR="00494E2E" w:rsidRPr="00E77CE0">
        <w:rPr>
          <w:rFonts w:cs="Arial"/>
          <w:bCs/>
        </w:rPr>
        <w:t>(ve mzdové sféře 2</w:t>
      </w:r>
      <w:r w:rsidR="00494E2E">
        <w:rPr>
          <w:rFonts w:cs="Arial"/>
          <w:bCs/>
        </w:rPr>
        <w:t>2</w:t>
      </w:r>
      <w:r w:rsidR="00494E2E" w:rsidRPr="00E77CE0">
        <w:rPr>
          <w:rFonts w:cs="Arial"/>
          <w:bCs/>
        </w:rPr>
        <w:t> </w:t>
      </w:r>
      <w:r w:rsidR="00494E2E">
        <w:rPr>
          <w:rFonts w:cs="Arial"/>
          <w:bCs/>
        </w:rPr>
        <w:t>403</w:t>
      </w:r>
      <w:r w:rsidR="00494E2E" w:rsidRPr="00E77CE0">
        <w:rPr>
          <w:rFonts w:cs="Arial"/>
          <w:bCs/>
        </w:rPr>
        <w:t> Kč, v platové sféře 2</w:t>
      </w:r>
      <w:r w:rsidR="00494E2E">
        <w:rPr>
          <w:rFonts w:cs="Arial"/>
          <w:bCs/>
        </w:rPr>
        <w:t>5</w:t>
      </w:r>
      <w:r w:rsidR="00494E2E" w:rsidRPr="00E77CE0">
        <w:rPr>
          <w:rFonts w:cs="Arial"/>
          <w:bCs/>
        </w:rPr>
        <w:t> </w:t>
      </w:r>
      <w:r w:rsidR="00494E2E">
        <w:rPr>
          <w:rFonts w:cs="Arial"/>
          <w:bCs/>
        </w:rPr>
        <w:t>431</w:t>
      </w:r>
      <w:r w:rsidR="00494E2E" w:rsidRPr="00E77CE0">
        <w:rPr>
          <w:rFonts w:cs="Arial"/>
          <w:bCs/>
        </w:rPr>
        <w:t xml:space="preserve"> Kč) </w:t>
      </w:r>
      <w:r w:rsidR="00494E2E" w:rsidRPr="00E77CE0">
        <w:rPr>
          <w:rFonts w:cs="Arial"/>
          <w:b/>
          <w:bCs/>
        </w:rPr>
        <w:t>a byl</w:t>
      </w:r>
      <w:r w:rsidR="00494E2E" w:rsidRPr="00E77CE0">
        <w:rPr>
          <w:rFonts w:cs="Arial"/>
          <w:bCs/>
        </w:rPr>
        <w:t xml:space="preserve"> </w:t>
      </w:r>
      <w:r w:rsidR="00494E2E" w:rsidRPr="00E77CE0">
        <w:rPr>
          <w:rFonts w:cs="Arial"/>
          <w:b/>
          <w:bCs/>
        </w:rPr>
        <w:t>oproti hodnotě průměrné měsíční mzdy nižší o </w:t>
      </w:r>
      <w:r w:rsidR="00494E2E">
        <w:rPr>
          <w:rFonts w:cs="Arial"/>
          <w:b/>
          <w:bCs/>
        </w:rPr>
        <w:t>4</w:t>
      </w:r>
      <w:r w:rsidR="00494E2E" w:rsidRPr="00E77CE0">
        <w:rPr>
          <w:rFonts w:cs="Arial"/>
          <w:b/>
          <w:bCs/>
        </w:rPr>
        <w:t> </w:t>
      </w:r>
      <w:r w:rsidR="00494E2E">
        <w:rPr>
          <w:rFonts w:cs="Arial"/>
          <w:b/>
          <w:bCs/>
        </w:rPr>
        <w:t>167</w:t>
      </w:r>
      <w:r w:rsidR="00494E2E" w:rsidRPr="00E77CE0">
        <w:rPr>
          <w:rFonts w:cs="Arial"/>
          <w:b/>
          <w:bCs/>
        </w:rPr>
        <w:t> Kč. V platové sféře představoval tento rozdíl 1 </w:t>
      </w:r>
      <w:r w:rsidR="00494E2E">
        <w:rPr>
          <w:rFonts w:cs="Arial"/>
          <w:b/>
          <w:bCs/>
        </w:rPr>
        <w:t>565</w:t>
      </w:r>
      <w:r w:rsidR="00494E2E" w:rsidRPr="00E77CE0">
        <w:rPr>
          <w:rFonts w:cs="Arial"/>
          <w:b/>
          <w:bCs/>
        </w:rPr>
        <w:t> Kč; ve mzdové sféře činilo zaostávání mediánu za průměrnou mzdou 4 </w:t>
      </w:r>
      <w:r w:rsidR="00494E2E">
        <w:rPr>
          <w:rFonts w:cs="Arial"/>
          <w:b/>
          <w:bCs/>
        </w:rPr>
        <w:t>923</w:t>
      </w:r>
      <w:r w:rsidR="00494E2E" w:rsidRPr="00E77CE0">
        <w:rPr>
          <w:rFonts w:cs="Arial"/>
          <w:b/>
          <w:bCs/>
        </w:rPr>
        <w:t xml:space="preserve"> Kč. </w:t>
      </w:r>
      <w:r w:rsidR="00494E2E" w:rsidRPr="00E77CE0">
        <w:rPr>
          <w:rFonts w:cs="Arial"/>
          <w:bCs/>
        </w:rPr>
        <w:t>Z toho vyplývá, že výdělky jednotlivých zaměstnanců ve mzdové sféře na rozdíl od sféry platové byly více diferencované. To bylo ovlivněno zejména vysokou absolutní úrovní vyplácených mezd (včetně prémií, mimořádných odměn a bonusů) vrcholovým manažerům a špičkovým specialistům v tomto sektoru.</w:t>
      </w:r>
    </w:p>
    <w:p w:rsidR="0037513D" w:rsidRDefault="0037513D" w:rsidP="00F07026">
      <w:pPr>
        <w:spacing w:line="360" w:lineRule="auto"/>
        <w:jc w:val="both"/>
        <w:rPr>
          <w:rFonts w:cs="Arial"/>
          <w:bCs/>
        </w:rPr>
      </w:pPr>
    </w:p>
    <w:p w:rsidR="00494E2E" w:rsidRDefault="0037513D" w:rsidP="0037513D">
      <w:pPr>
        <w:spacing w:line="360" w:lineRule="auto"/>
        <w:jc w:val="both"/>
        <w:rPr>
          <w:rFonts w:cs="Arial"/>
        </w:rPr>
      </w:pPr>
      <w:r>
        <w:rPr>
          <w:rFonts w:cs="Arial"/>
          <w:bCs/>
        </w:rPr>
        <w:tab/>
      </w:r>
      <w:r w:rsidR="00494E2E" w:rsidRPr="00C5473A">
        <w:rPr>
          <w:rFonts w:cs="Arial"/>
        </w:rPr>
        <w:t xml:space="preserve">Proti posílení mzdové diferenciace působila skutečnost, že průměrné (meziroční) </w:t>
      </w:r>
      <w:r w:rsidR="00494E2E" w:rsidRPr="00C5473A">
        <w:rPr>
          <w:rFonts w:cs="Arial"/>
          <w:b/>
          <w:bCs/>
        </w:rPr>
        <w:t>tempo růstu výdělků řídících pracovníků a manažerů</w:t>
      </w:r>
      <w:r w:rsidR="00494E2E" w:rsidRPr="00C5473A">
        <w:rPr>
          <w:rFonts w:cs="Arial"/>
        </w:rPr>
        <w:t xml:space="preserve"> (klasifikace </w:t>
      </w:r>
      <w:r w:rsidR="000D69B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94E2E" w:rsidRPr="00C5473A">
        <w:rPr>
          <w:rFonts w:cs="Arial"/>
        </w:rPr>
        <w:t xml:space="preserve">CZ-ISCO, hlavní třída 1) </w:t>
      </w:r>
      <w:r w:rsidR="00494E2E" w:rsidRPr="00C5473A">
        <w:rPr>
          <w:rFonts w:cs="Arial"/>
          <w:b/>
          <w:bCs/>
        </w:rPr>
        <w:t xml:space="preserve">bylo </w:t>
      </w:r>
      <w:r w:rsidR="00494E2E" w:rsidRPr="00C5473A">
        <w:rPr>
          <w:rFonts w:cs="Arial"/>
          <w:b/>
        </w:rPr>
        <w:t>nižší než průměrná intenzita nárůstu mezd jimi řízených zaměstnanců</w:t>
      </w:r>
      <w:r w:rsidR="00494E2E" w:rsidRPr="00C5473A">
        <w:rPr>
          <w:rFonts w:cs="Arial"/>
        </w:rPr>
        <w:t xml:space="preserve"> (o 0,4 p. b.).</w:t>
      </w:r>
    </w:p>
    <w:p w:rsidR="009B1DB6" w:rsidRDefault="009B1DB6" w:rsidP="0037513D">
      <w:pPr>
        <w:spacing w:line="360" w:lineRule="auto"/>
        <w:jc w:val="both"/>
        <w:rPr>
          <w:rFonts w:cs="Arial"/>
        </w:rPr>
      </w:pPr>
    </w:p>
    <w:p w:rsidR="00494E2E" w:rsidRDefault="0037513D" w:rsidP="0037513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494E2E" w:rsidRPr="00E77CE0">
        <w:rPr>
          <w:rFonts w:cs="Arial"/>
          <w:b/>
          <w:bCs/>
        </w:rPr>
        <w:t xml:space="preserve">V rozložení úrovně mezd zaměstnanců došlo k </w:t>
      </w:r>
      <w:r w:rsidR="00494E2E" w:rsidRPr="00E77CE0">
        <w:rPr>
          <w:rFonts w:cs="Arial"/>
          <w:bCs/>
        </w:rPr>
        <w:t>mírnému</w:t>
      </w:r>
      <w:r w:rsidR="00494E2E" w:rsidRPr="00E77CE0">
        <w:rPr>
          <w:rFonts w:cs="Arial"/>
          <w:b/>
          <w:bCs/>
        </w:rPr>
        <w:t xml:space="preserve"> posunu</w:t>
      </w:r>
      <w:r w:rsidR="00494E2E" w:rsidRPr="00E77CE0">
        <w:rPr>
          <w:rFonts w:cs="Arial"/>
        </w:rPr>
        <w:t xml:space="preserve"> </w:t>
      </w:r>
      <w:r w:rsidR="00494E2E" w:rsidRPr="00E77CE0">
        <w:rPr>
          <w:rFonts w:cs="Arial"/>
          <w:b/>
          <w:bCs/>
        </w:rPr>
        <w:t>směrem k vyšším hodnotám</w:t>
      </w:r>
      <w:r w:rsidR="00494E2E" w:rsidRPr="00E77CE0">
        <w:rPr>
          <w:rFonts w:cs="Arial"/>
          <w:bCs/>
        </w:rPr>
        <w:t xml:space="preserve"> (viz frekvenční graf v rámci vybraných výstupů z Informačního systému o průměrném výdělku v příloze). </w:t>
      </w:r>
      <w:r w:rsidR="00494E2E" w:rsidRPr="00E77CE0">
        <w:rPr>
          <w:rFonts w:cs="Arial"/>
          <w:b/>
          <w:bCs/>
        </w:rPr>
        <w:t>V nejčetnějším pásmu 2</w:t>
      </w:r>
      <w:r w:rsidR="00494E2E">
        <w:rPr>
          <w:rFonts w:cs="Arial"/>
          <w:b/>
          <w:bCs/>
        </w:rPr>
        <w:t>2</w:t>
      </w:r>
      <w:r w:rsidR="00494E2E" w:rsidRPr="00E77CE0">
        <w:rPr>
          <w:rFonts w:cs="Arial"/>
          <w:b/>
          <w:bCs/>
        </w:rPr>
        <w:t> – 2</w:t>
      </w:r>
      <w:r w:rsidR="00494E2E">
        <w:rPr>
          <w:rFonts w:cs="Arial"/>
          <w:b/>
          <w:bCs/>
        </w:rPr>
        <w:t>4</w:t>
      </w:r>
      <w:r w:rsidR="00494E2E" w:rsidRPr="00E77CE0">
        <w:rPr>
          <w:rFonts w:cs="Arial"/>
          <w:b/>
          <w:bCs/>
        </w:rPr>
        <w:t xml:space="preserve"> tis. Kč pobíralo mzdu celkem </w:t>
      </w:r>
      <w:r w:rsidR="00494E2E">
        <w:rPr>
          <w:rFonts w:cs="Arial"/>
          <w:b/>
          <w:bCs/>
        </w:rPr>
        <w:t>8</w:t>
      </w:r>
      <w:r w:rsidR="00494E2E" w:rsidRPr="00E77CE0">
        <w:rPr>
          <w:rFonts w:cs="Arial"/>
          <w:b/>
          <w:bCs/>
        </w:rPr>
        <w:t>,</w:t>
      </w:r>
      <w:r w:rsidR="00494E2E">
        <w:rPr>
          <w:rFonts w:cs="Arial"/>
          <w:b/>
          <w:bCs/>
        </w:rPr>
        <w:t>7</w:t>
      </w:r>
      <w:r w:rsidR="00494E2E" w:rsidRPr="00E77CE0">
        <w:rPr>
          <w:rFonts w:cs="Arial"/>
          <w:b/>
          <w:bCs/>
        </w:rPr>
        <w:t> % zaměstnanců</w:t>
      </w:r>
      <w:r w:rsidR="00494E2E" w:rsidRPr="00E77CE0">
        <w:rPr>
          <w:rFonts w:cs="Arial"/>
          <w:bCs/>
        </w:rPr>
        <w:t xml:space="preserve"> (</w:t>
      </w:r>
      <w:r w:rsidR="00494E2E" w:rsidRPr="00D46943">
        <w:rPr>
          <w:rFonts w:cs="Arial"/>
          <w:bCs/>
        </w:rPr>
        <w:t xml:space="preserve">ve stejném období </w:t>
      </w:r>
      <w:r w:rsidR="00494E2E">
        <w:rPr>
          <w:rFonts w:cs="Arial"/>
          <w:bCs/>
        </w:rPr>
        <w:t xml:space="preserve">loňského </w:t>
      </w:r>
      <w:r w:rsidR="00494E2E" w:rsidRPr="00D46943">
        <w:rPr>
          <w:rFonts w:cs="Arial"/>
          <w:bCs/>
        </w:rPr>
        <w:t>roku to</w:t>
      </w:r>
      <w:r w:rsidR="00120714">
        <w:rPr>
          <w:rFonts w:cs="Arial"/>
          <w:bCs/>
        </w:rPr>
        <w:t> </w:t>
      </w:r>
      <w:r w:rsidR="00494E2E" w:rsidRPr="00D46943">
        <w:rPr>
          <w:rFonts w:cs="Arial"/>
          <w:bCs/>
        </w:rPr>
        <w:t>bylo 9,</w:t>
      </w:r>
      <w:r w:rsidR="00494E2E">
        <w:rPr>
          <w:rFonts w:cs="Arial"/>
          <w:bCs/>
        </w:rPr>
        <w:t>2</w:t>
      </w:r>
      <w:r>
        <w:rPr>
          <w:rFonts w:cs="Arial"/>
          <w:bCs/>
        </w:rPr>
        <w:t> </w:t>
      </w:r>
      <w:r w:rsidR="00494E2E" w:rsidRPr="00D46943">
        <w:rPr>
          <w:rFonts w:cs="Arial"/>
          <w:bCs/>
        </w:rPr>
        <w:t>%</w:t>
      </w:r>
      <w:r w:rsidR="00494E2E" w:rsidRPr="00E77CE0">
        <w:rPr>
          <w:rFonts w:cs="Arial"/>
          <w:bCs/>
        </w:rPr>
        <w:t>)</w:t>
      </w:r>
      <w:r w:rsidR="00494E2E" w:rsidRPr="00E77CE0">
        <w:rPr>
          <w:rFonts w:cs="Arial"/>
        </w:rPr>
        <w:t xml:space="preserve">. </w:t>
      </w:r>
      <w:r w:rsidR="00494E2E" w:rsidRPr="00E77CE0">
        <w:rPr>
          <w:rFonts w:cs="Arial"/>
          <w:b/>
          <w:bCs/>
        </w:rPr>
        <w:t xml:space="preserve">Výdělek nepřekračující </w:t>
      </w:r>
      <w:r w:rsidR="00494E2E">
        <w:rPr>
          <w:rFonts w:cs="Arial"/>
          <w:b/>
          <w:bCs/>
        </w:rPr>
        <w:t>12</w:t>
      </w:r>
      <w:r w:rsidR="00494E2E" w:rsidRPr="00E77CE0">
        <w:rPr>
          <w:rFonts w:cs="Arial"/>
          <w:b/>
          <w:bCs/>
        </w:rPr>
        <w:t> 000 Kč</w:t>
      </w:r>
      <w:r w:rsidR="00494E2E" w:rsidRPr="00E77CE0">
        <w:rPr>
          <w:rFonts w:cs="Arial"/>
          <w:bCs/>
        </w:rPr>
        <w:t xml:space="preserve"> </w:t>
      </w:r>
      <w:r w:rsidR="00494E2E">
        <w:rPr>
          <w:rFonts w:cs="Arial"/>
          <w:bCs/>
        </w:rPr>
        <w:t xml:space="preserve">(tj. úroveň odpovídající </w:t>
      </w:r>
      <w:r w:rsidR="00494E2E">
        <w:rPr>
          <w:rFonts w:cs="Arial"/>
          <w:bCs/>
        </w:rPr>
        <w:lastRenderedPageBreak/>
        <w:t>cca</w:t>
      </w:r>
      <w:r w:rsidR="00120714">
        <w:rPr>
          <w:rFonts w:cs="Arial"/>
          <w:bCs/>
        </w:rPr>
        <w:t> </w:t>
      </w:r>
      <w:r w:rsidR="00494E2E">
        <w:rPr>
          <w:rFonts w:cs="Arial"/>
          <w:bCs/>
        </w:rPr>
        <w:t xml:space="preserve">1. decilu) </w:t>
      </w:r>
      <w:r w:rsidR="00494E2E" w:rsidRPr="00E77CE0">
        <w:rPr>
          <w:rFonts w:cs="Arial"/>
          <w:b/>
          <w:bCs/>
        </w:rPr>
        <w:t>mělo</w:t>
      </w:r>
      <w:r w:rsidR="00494E2E" w:rsidRPr="00E77CE0">
        <w:rPr>
          <w:rFonts w:cs="Arial"/>
        </w:rPr>
        <w:t xml:space="preserve"> jen </w:t>
      </w:r>
      <w:r w:rsidR="00494E2E">
        <w:rPr>
          <w:rFonts w:cs="Arial"/>
          <w:b/>
          <w:bCs/>
        </w:rPr>
        <w:t>4</w:t>
      </w:r>
      <w:r w:rsidR="00494E2E" w:rsidRPr="00E77CE0">
        <w:rPr>
          <w:rFonts w:cs="Arial"/>
          <w:b/>
          <w:bCs/>
        </w:rPr>
        <w:t>,</w:t>
      </w:r>
      <w:r w:rsidR="00494E2E">
        <w:rPr>
          <w:rFonts w:cs="Arial"/>
          <w:b/>
          <w:bCs/>
        </w:rPr>
        <w:t>6</w:t>
      </w:r>
      <w:r w:rsidR="00494E2E" w:rsidRPr="00E77CE0">
        <w:rPr>
          <w:rFonts w:cs="Arial"/>
          <w:b/>
          <w:bCs/>
        </w:rPr>
        <w:t> % zaměstnanců</w:t>
      </w:r>
      <w:r w:rsidR="00494E2E" w:rsidRPr="00E77CE0">
        <w:rPr>
          <w:rFonts w:cs="Arial"/>
          <w:bCs/>
        </w:rPr>
        <w:t xml:space="preserve"> (v 1. pololetí 201</w:t>
      </w:r>
      <w:r w:rsidR="00494E2E">
        <w:rPr>
          <w:rFonts w:cs="Arial"/>
          <w:bCs/>
        </w:rPr>
        <w:t>4</w:t>
      </w:r>
      <w:r w:rsidR="00494E2E" w:rsidRPr="00E77CE0">
        <w:rPr>
          <w:rFonts w:cs="Arial"/>
          <w:bCs/>
        </w:rPr>
        <w:t xml:space="preserve"> to bylo </w:t>
      </w:r>
      <w:r w:rsidR="00494E2E">
        <w:rPr>
          <w:rFonts w:cs="Arial"/>
          <w:bCs/>
        </w:rPr>
        <w:t>5</w:t>
      </w:r>
      <w:r w:rsidR="00494E2E" w:rsidRPr="00E77CE0">
        <w:rPr>
          <w:rFonts w:cs="Arial"/>
          <w:bCs/>
        </w:rPr>
        <w:t>,</w:t>
      </w:r>
      <w:r w:rsidR="00494E2E">
        <w:rPr>
          <w:rFonts w:cs="Arial"/>
          <w:bCs/>
        </w:rPr>
        <w:t>6</w:t>
      </w:r>
      <w:r w:rsidR="00494E2E" w:rsidRPr="00E77CE0">
        <w:rPr>
          <w:rFonts w:cs="Arial"/>
          <w:bCs/>
        </w:rPr>
        <w:t> %)</w:t>
      </w:r>
      <w:r w:rsidR="00494E2E" w:rsidRPr="00E77CE0">
        <w:rPr>
          <w:rFonts w:cs="Arial"/>
          <w:b/>
          <w:bCs/>
        </w:rPr>
        <w:t xml:space="preserve"> </w:t>
      </w:r>
      <w:r w:rsidR="00494E2E" w:rsidRPr="00E77CE0">
        <w:rPr>
          <w:rFonts w:cs="Arial"/>
        </w:rPr>
        <w:t>– ovšem např. v odvětvích „</w:t>
      </w:r>
      <w:r w:rsidR="00494E2E">
        <w:rPr>
          <w:rFonts w:cs="Arial"/>
        </w:rPr>
        <w:t>ubytování, stravování a pohostinství</w:t>
      </w:r>
      <w:r w:rsidR="00494E2E" w:rsidRPr="00E77CE0">
        <w:rPr>
          <w:rFonts w:cs="Arial"/>
        </w:rPr>
        <w:t xml:space="preserve">“ </w:t>
      </w:r>
      <w:r w:rsidR="00494E2E">
        <w:rPr>
          <w:rFonts w:cs="Arial"/>
        </w:rPr>
        <w:t>46,6</w:t>
      </w:r>
      <w:r w:rsidR="00494E2E" w:rsidRPr="00E77CE0">
        <w:rPr>
          <w:rFonts w:cs="Arial"/>
        </w:rPr>
        <w:t> %, „administrativní a</w:t>
      </w:r>
      <w:r>
        <w:rPr>
          <w:rFonts w:cs="Arial"/>
        </w:rPr>
        <w:t> </w:t>
      </w:r>
      <w:r w:rsidR="00494E2E" w:rsidRPr="00E77CE0">
        <w:rPr>
          <w:rFonts w:cs="Arial"/>
        </w:rPr>
        <w:t xml:space="preserve">podpůrné činnosti“ </w:t>
      </w:r>
      <w:r w:rsidR="00494E2E">
        <w:rPr>
          <w:rFonts w:cs="Arial"/>
        </w:rPr>
        <w:t>3</w:t>
      </w:r>
      <w:r w:rsidR="00494E2E" w:rsidRPr="00E77CE0">
        <w:rPr>
          <w:rFonts w:cs="Arial"/>
        </w:rPr>
        <w:t>1,</w:t>
      </w:r>
      <w:r w:rsidR="00494E2E">
        <w:rPr>
          <w:rFonts w:cs="Arial"/>
        </w:rPr>
        <w:t>9</w:t>
      </w:r>
      <w:r w:rsidR="00494E2E" w:rsidRPr="00E77CE0">
        <w:rPr>
          <w:rFonts w:cs="Arial"/>
        </w:rPr>
        <w:t xml:space="preserve"> % </w:t>
      </w:r>
      <w:r w:rsidR="00494E2E">
        <w:rPr>
          <w:rFonts w:cs="Arial"/>
        </w:rPr>
        <w:t xml:space="preserve">a </w:t>
      </w:r>
      <w:r w:rsidR="00494E2E" w:rsidRPr="00E77CE0">
        <w:rPr>
          <w:rFonts w:cs="Arial"/>
        </w:rPr>
        <w:t>„</w:t>
      </w:r>
      <w:r w:rsidR="00494E2E" w:rsidRPr="0034230D">
        <w:rPr>
          <w:rFonts w:cs="Arial"/>
        </w:rPr>
        <w:t>výroba textilií, oděvů, usní a</w:t>
      </w:r>
      <w:r w:rsidR="00494E2E">
        <w:rPr>
          <w:rFonts w:cs="Arial"/>
        </w:rPr>
        <w:t> </w:t>
      </w:r>
      <w:r w:rsidR="00494E2E" w:rsidRPr="0034230D">
        <w:rPr>
          <w:rFonts w:cs="Arial"/>
        </w:rPr>
        <w:t>souvisejících výrobků</w:t>
      </w:r>
      <w:r w:rsidR="00494E2E" w:rsidRPr="00E77CE0">
        <w:rPr>
          <w:rFonts w:cs="Arial"/>
        </w:rPr>
        <w:t>“ 1</w:t>
      </w:r>
      <w:r w:rsidR="00494E2E">
        <w:rPr>
          <w:rFonts w:cs="Arial"/>
        </w:rPr>
        <w:t>8</w:t>
      </w:r>
      <w:r w:rsidR="00494E2E" w:rsidRPr="00E77CE0">
        <w:rPr>
          <w:rFonts w:cs="Arial"/>
        </w:rPr>
        <w:t>,</w:t>
      </w:r>
      <w:r w:rsidR="00494E2E">
        <w:rPr>
          <w:rFonts w:cs="Arial"/>
        </w:rPr>
        <w:t>9</w:t>
      </w:r>
      <w:r w:rsidR="00494E2E" w:rsidRPr="00E77CE0">
        <w:rPr>
          <w:rFonts w:cs="Arial"/>
        </w:rPr>
        <w:t xml:space="preserve"> % zaměstnanců. </w:t>
      </w:r>
      <w:r w:rsidR="00494E2E" w:rsidRPr="00E77CE0">
        <w:rPr>
          <w:rFonts w:cs="Arial"/>
          <w:b/>
          <w:bCs/>
        </w:rPr>
        <w:t xml:space="preserve">Mzda převyšující </w:t>
      </w:r>
      <w:r w:rsidR="00494E2E">
        <w:rPr>
          <w:rFonts w:cs="Arial"/>
          <w:b/>
          <w:bCs/>
        </w:rPr>
        <w:t>40</w:t>
      </w:r>
      <w:r w:rsidR="00494E2E" w:rsidRPr="00E77CE0">
        <w:rPr>
          <w:rFonts w:cs="Arial"/>
          <w:b/>
          <w:bCs/>
        </w:rPr>
        <w:t> 000 Kč byla</w:t>
      </w:r>
      <w:r w:rsidR="00120714">
        <w:rPr>
          <w:rFonts w:cs="Arial"/>
          <w:b/>
          <w:bCs/>
        </w:rPr>
        <w:t> </w:t>
      </w:r>
      <w:r w:rsidR="00494E2E" w:rsidRPr="00E77CE0">
        <w:rPr>
          <w:rFonts w:cs="Arial"/>
          <w:b/>
          <w:bCs/>
        </w:rPr>
        <w:t xml:space="preserve">vyplacena </w:t>
      </w:r>
      <w:r w:rsidR="00494E2E">
        <w:rPr>
          <w:rFonts w:cs="Arial"/>
          <w:b/>
          <w:bCs/>
        </w:rPr>
        <w:t>14</w:t>
      </w:r>
      <w:r w:rsidR="00494E2E" w:rsidRPr="00E77CE0">
        <w:rPr>
          <w:rFonts w:cs="Arial"/>
          <w:b/>
          <w:bCs/>
        </w:rPr>
        <w:t>,</w:t>
      </w:r>
      <w:r w:rsidR="00494E2E">
        <w:rPr>
          <w:rFonts w:cs="Arial"/>
          <w:b/>
          <w:bCs/>
        </w:rPr>
        <w:t>4</w:t>
      </w:r>
      <w:r w:rsidR="00494E2E" w:rsidRPr="00E77CE0">
        <w:rPr>
          <w:rFonts w:cs="Arial"/>
          <w:b/>
          <w:bCs/>
        </w:rPr>
        <w:t> % zaměstnanců</w:t>
      </w:r>
      <w:r w:rsidR="00494E2E" w:rsidRPr="00E77CE0">
        <w:rPr>
          <w:rFonts w:cs="Arial"/>
          <w:bCs/>
        </w:rPr>
        <w:t xml:space="preserve"> (o 1,</w:t>
      </w:r>
      <w:r w:rsidR="00494E2E">
        <w:rPr>
          <w:rFonts w:cs="Arial"/>
          <w:bCs/>
        </w:rPr>
        <w:t>3</w:t>
      </w:r>
      <w:r w:rsidR="00494E2E" w:rsidRPr="00E77CE0">
        <w:rPr>
          <w:rFonts w:cs="Arial"/>
          <w:bCs/>
        </w:rPr>
        <w:t> p.</w:t>
      </w:r>
      <w:r w:rsidR="00494E2E">
        <w:rPr>
          <w:rFonts w:cs="Arial"/>
          <w:bCs/>
        </w:rPr>
        <w:t> </w:t>
      </w:r>
      <w:r w:rsidR="00494E2E" w:rsidRPr="00E77CE0">
        <w:rPr>
          <w:rFonts w:cs="Arial"/>
          <w:bCs/>
        </w:rPr>
        <w:t>b. vyšší podíl než v 1. pololetí roku 201</w:t>
      </w:r>
      <w:r w:rsidR="00494E2E">
        <w:rPr>
          <w:rFonts w:cs="Arial"/>
          <w:bCs/>
        </w:rPr>
        <w:t>4</w:t>
      </w:r>
      <w:r w:rsidR="00494E2E" w:rsidRPr="00E77CE0">
        <w:rPr>
          <w:rFonts w:cs="Arial"/>
          <w:bCs/>
        </w:rPr>
        <w:t xml:space="preserve">) </w:t>
      </w:r>
      <w:r w:rsidR="00494E2E" w:rsidRPr="00E77CE0">
        <w:rPr>
          <w:rFonts w:cs="Arial"/>
        </w:rPr>
        <w:t xml:space="preserve">– v odvětvích </w:t>
      </w:r>
      <w:r w:rsidR="00494E2E">
        <w:rPr>
          <w:rFonts w:cs="Arial"/>
        </w:rPr>
        <w:t>„</w:t>
      </w:r>
      <w:r w:rsidR="00494E2E" w:rsidRPr="00E77CE0">
        <w:rPr>
          <w:rFonts w:cs="Arial"/>
        </w:rPr>
        <w:t>IT a informační činnosti</w:t>
      </w:r>
      <w:r w:rsidR="00494E2E">
        <w:rPr>
          <w:rFonts w:cs="Arial"/>
        </w:rPr>
        <w:t>“</w:t>
      </w:r>
      <w:r w:rsidR="00494E2E" w:rsidRPr="00E77CE0">
        <w:rPr>
          <w:rFonts w:cs="Arial"/>
        </w:rPr>
        <w:t xml:space="preserve"> ji však obdrželo</w:t>
      </w:r>
      <w:r w:rsidR="00494E2E">
        <w:rPr>
          <w:rFonts w:cs="Arial"/>
        </w:rPr>
        <w:t xml:space="preserve"> již</w:t>
      </w:r>
      <w:r w:rsidR="00494E2E" w:rsidRPr="00E77CE0">
        <w:rPr>
          <w:rFonts w:cs="Arial"/>
        </w:rPr>
        <w:t xml:space="preserve"> </w:t>
      </w:r>
      <w:r w:rsidR="00494E2E">
        <w:rPr>
          <w:rFonts w:cs="Arial"/>
        </w:rPr>
        <w:t>51,0</w:t>
      </w:r>
      <w:r w:rsidR="00494E2E" w:rsidRPr="00E77CE0">
        <w:rPr>
          <w:rFonts w:cs="Arial"/>
        </w:rPr>
        <w:t xml:space="preserve"> %, v „telekomunikační činnosti“ </w:t>
      </w:r>
      <w:r w:rsidR="00494E2E">
        <w:rPr>
          <w:rFonts w:cs="Arial"/>
        </w:rPr>
        <w:t>49,0</w:t>
      </w:r>
      <w:r w:rsidR="00494E2E" w:rsidRPr="00E77CE0">
        <w:rPr>
          <w:rFonts w:cs="Arial"/>
        </w:rPr>
        <w:t xml:space="preserve"> % a v „peněžnictví a pojišťovnictví“ </w:t>
      </w:r>
      <w:r w:rsidR="00494E2E">
        <w:rPr>
          <w:rFonts w:cs="Arial"/>
        </w:rPr>
        <w:t>4</w:t>
      </w:r>
      <w:r w:rsidR="00494E2E" w:rsidRPr="00E77CE0">
        <w:rPr>
          <w:rFonts w:cs="Arial"/>
        </w:rPr>
        <w:t>6</w:t>
      </w:r>
      <w:r w:rsidR="00494E2E">
        <w:rPr>
          <w:rFonts w:cs="Arial"/>
        </w:rPr>
        <w:t>,0</w:t>
      </w:r>
      <w:r w:rsidR="00494E2E" w:rsidRPr="00E77CE0">
        <w:rPr>
          <w:rFonts w:cs="Arial"/>
        </w:rPr>
        <w:t> % zaměstnanců.</w:t>
      </w:r>
    </w:p>
    <w:p w:rsidR="0037513D" w:rsidRDefault="0037513D" w:rsidP="0037513D">
      <w:pPr>
        <w:spacing w:line="360" w:lineRule="auto"/>
        <w:jc w:val="both"/>
        <w:rPr>
          <w:rFonts w:cs="Arial"/>
        </w:rPr>
      </w:pPr>
    </w:p>
    <w:p w:rsidR="00494E2E" w:rsidRDefault="0037513D" w:rsidP="0037513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494E2E" w:rsidRPr="00E77CE0">
        <w:rPr>
          <w:rFonts w:cs="Arial"/>
        </w:rPr>
        <w:t xml:space="preserve">K nadprůměrně odměňovaným profesím v 1. pololetí letošního roku patřili např. „nejvyšší představitelé společností“ (s průměrnou mzdou </w:t>
      </w:r>
      <w:r w:rsidR="00494E2E">
        <w:rPr>
          <w:rFonts w:cs="Arial"/>
        </w:rPr>
        <w:t>90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544</w:t>
      </w:r>
      <w:r w:rsidR="00494E2E" w:rsidRPr="00E77CE0">
        <w:rPr>
          <w:rFonts w:cs="Arial"/>
        </w:rPr>
        <w:t> Kč), „lékařští specialisté“ (5</w:t>
      </w:r>
      <w:r w:rsidR="00494E2E">
        <w:rPr>
          <w:rFonts w:cs="Arial"/>
        </w:rPr>
        <w:t>6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773</w:t>
      </w:r>
      <w:r w:rsidR="00494E2E" w:rsidRPr="00E77CE0">
        <w:rPr>
          <w:rFonts w:cs="Arial"/>
        </w:rPr>
        <w:t> Kč), ale i „strojí</w:t>
      </w:r>
      <w:r w:rsidR="00494E2E">
        <w:rPr>
          <w:rFonts w:cs="Arial"/>
        </w:rPr>
        <w:t>renští</w:t>
      </w:r>
      <w:r w:rsidR="00494E2E" w:rsidRPr="00E77CE0">
        <w:rPr>
          <w:rFonts w:cs="Arial"/>
        </w:rPr>
        <w:t xml:space="preserve"> </w:t>
      </w:r>
      <w:r w:rsidR="00494E2E">
        <w:rPr>
          <w:rFonts w:cs="Arial"/>
        </w:rPr>
        <w:t>technici</w:t>
      </w:r>
      <w:r w:rsidR="00494E2E" w:rsidRPr="00E77CE0">
        <w:rPr>
          <w:rFonts w:cs="Arial"/>
        </w:rPr>
        <w:t>“ (</w:t>
      </w:r>
      <w:r w:rsidR="00494E2E">
        <w:rPr>
          <w:rFonts w:cs="Arial"/>
        </w:rPr>
        <w:t>32 485</w:t>
      </w:r>
      <w:r w:rsidR="00494E2E" w:rsidRPr="00E77CE0">
        <w:rPr>
          <w:rFonts w:cs="Arial"/>
        </w:rPr>
        <w:t> Kč) nebo „všeobecné sestry se specializací“ (</w:t>
      </w:r>
      <w:r w:rsidR="00494E2E">
        <w:rPr>
          <w:rFonts w:cs="Arial"/>
        </w:rPr>
        <w:t>31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080</w:t>
      </w:r>
      <w:r w:rsidR="00494E2E" w:rsidRPr="00E77CE0">
        <w:rPr>
          <w:rFonts w:cs="Arial"/>
        </w:rPr>
        <w:t> Kč). K nejhůře placeným profesím patřili zejména „pracovníci ostrahy a bezpečnostních agentur“ (1</w:t>
      </w:r>
      <w:r w:rsidR="00494E2E">
        <w:rPr>
          <w:rFonts w:cs="Arial"/>
        </w:rPr>
        <w:t>3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334</w:t>
      </w:r>
      <w:r w:rsidR="00494E2E" w:rsidRPr="00E77CE0">
        <w:rPr>
          <w:rFonts w:cs="Arial"/>
        </w:rPr>
        <w:t> Kč)</w:t>
      </w:r>
      <w:r w:rsidR="00494E2E">
        <w:rPr>
          <w:rFonts w:cs="Arial"/>
        </w:rPr>
        <w:t>,</w:t>
      </w:r>
      <w:r w:rsidR="00494E2E" w:rsidRPr="00E77CE0">
        <w:rPr>
          <w:rFonts w:cs="Arial"/>
        </w:rPr>
        <w:t xml:space="preserve"> „švadleny, šičky, vyšívači a pracovníci v příbuzných oborech“ (13 </w:t>
      </w:r>
      <w:r w:rsidR="00494E2E">
        <w:rPr>
          <w:rFonts w:cs="Arial"/>
        </w:rPr>
        <w:t>969</w:t>
      </w:r>
      <w:r w:rsidR="00494E2E" w:rsidRPr="00E77CE0">
        <w:rPr>
          <w:rFonts w:cs="Arial"/>
        </w:rPr>
        <w:t> Kč) nebo</w:t>
      </w:r>
      <w:r w:rsidR="00494E2E">
        <w:rPr>
          <w:rFonts w:cs="Arial"/>
        </w:rPr>
        <w:t xml:space="preserve"> </w:t>
      </w:r>
      <w:r w:rsidR="00494E2E" w:rsidRPr="00E77CE0">
        <w:rPr>
          <w:rFonts w:cs="Arial"/>
        </w:rPr>
        <w:t>„</w:t>
      </w:r>
      <w:r w:rsidR="00494E2E">
        <w:rPr>
          <w:rFonts w:cs="Arial"/>
        </w:rPr>
        <w:t>prodavači v prodejnách</w:t>
      </w:r>
      <w:r w:rsidR="00494E2E" w:rsidRPr="00E77CE0">
        <w:rPr>
          <w:rFonts w:cs="Arial"/>
        </w:rPr>
        <w:t>“ (1</w:t>
      </w:r>
      <w:r w:rsidR="00494E2E">
        <w:rPr>
          <w:rFonts w:cs="Arial"/>
        </w:rPr>
        <w:t>5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880</w:t>
      </w:r>
      <w:r w:rsidR="00494E2E" w:rsidRPr="00E77CE0">
        <w:rPr>
          <w:rFonts w:cs="Arial"/>
        </w:rPr>
        <w:t> Kč).</w:t>
      </w:r>
    </w:p>
    <w:p w:rsidR="0037513D" w:rsidRDefault="0037513D" w:rsidP="0037513D">
      <w:pPr>
        <w:spacing w:line="360" w:lineRule="auto"/>
        <w:jc w:val="both"/>
        <w:rPr>
          <w:rFonts w:cs="Arial"/>
        </w:rPr>
      </w:pPr>
    </w:p>
    <w:p w:rsidR="00494E2E" w:rsidRDefault="0037513D" w:rsidP="0037513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494E2E" w:rsidRPr="00E77CE0">
        <w:rPr>
          <w:rFonts w:cs="Arial"/>
        </w:rPr>
        <w:t>Čím vyššího vzdělání zaměstnanec dosáhl, tím vyšší měl zpravidla průměrnou mzdu. Např. zatímco zaměstnan</w:t>
      </w:r>
      <w:r w:rsidR="00494E2E">
        <w:rPr>
          <w:rFonts w:cs="Arial"/>
        </w:rPr>
        <w:t>e</w:t>
      </w:r>
      <w:r w:rsidR="00494E2E" w:rsidRPr="00E77CE0">
        <w:rPr>
          <w:rFonts w:cs="Arial"/>
        </w:rPr>
        <w:t>c s maturitou pobíral mzdu (2</w:t>
      </w:r>
      <w:r w:rsidR="00494E2E">
        <w:rPr>
          <w:rFonts w:cs="Arial"/>
        </w:rPr>
        <w:t>6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890</w:t>
      </w:r>
      <w:r w:rsidR="00494E2E" w:rsidRPr="00E77CE0">
        <w:rPr>
          <w:rFonts w:cs="Arial"/>
        </w:rPr>
        <w:t> Kč) cca ve výši průměrné mzdy, vysokoškolsky vzdělaný zaměstnan</w:t>
      </w:r>
      <w:r w:rsidR="00494E2E">
        <w:rPr>
          <w:rFonts w:cs="Arial"/>
        </w:rPr>
        <w:t>e</w:t>
      </w:r>
      <w:r w:rsidR="00494E2E" w:rsidRPr="00E77CE0">
        <w:rPr>
          <w:rFonts w:cs="Arial"/>
        </w:rPr>
        <w:t>c měl ve sledovaném období průměrnou mzdu více než 1,6 krát vyšší (její úroveň dosáhla 4</w:t>
      </w:r>
      <w:r w:rsidR="00494E2E">
        <w:rPr>
          <w:rFonts w:cs="Arial"/>
        </w:rPr>
        <w:t>2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77</w:t>
      </w:r>
      <w:r w:rsidR="00494E2E" w:rsidRPr="00E77CE0">
        <w:rPr>
          <w:rFonts w:cs="Arial"/>
        </w:rPr>
        <w:t>3 Kč). Z hlediska věku patřily k nejlépe placeným zaměstnanci ve věku 30 </w:t>
      </w:r>
      <w:r w:rsidR="00494E2E" w:rsidRPr="00E77CE0">
        <w:rPr>
          <w:rFonts w:cs="Arial"/>
        </w:rPr>
        <w:noBreakHyphen/>
        <w:t xml:space="preserve"> 49 let, a to ve všech </w:t>
      </w:r>
      <w:r w:rsidR="00494E2E">
        <w:rPr>
          <w:rFonts w:cs="Arial"/>
        </w:rPr>
        <w:t xml:space="preserve">hlavních </w:t>
      </w:r>
      <w:r w:rsidR="00494E2E" w:rsidRPr="00E77CE0">
        <w:rPr>
          <w:rFonts w:cs="Arial"/>
        </w:rPr>
        <w:t>vzdělanostních kategoriích. Největší rozdíly byly zaznamenány u</w:t>
      </w:r>
      <w:r>
        <w:rPr>
          <w:rFonts w:cs="Arial"/>
        </w:rPr>
        <w:t> </w:t>
      </w:r>
      <w:r w:rsidR="00494E2E" w:rsidRPr="00E77CE0">
        <w:rPr>
          <w:rFonts w:cs="Arial"/>
        </w:rPr>
        <w:t>zaměstnanců s vysokoškolským vzděláním. Průměrná mzda těchto zaměstnanců ve věku do 29 let činila v 1. pololetí 28 </w:t>
      </w:r>
      <w:r w:rsidR="00494E2E">
        <w:rPr>
          <w:rFonts w:cs="Arial"/>
        </w:rPr>
        <w:t>673</w:t>
      </w:r>
      <w:r w:rsidR="00494E2E" w:rsidRPr="00E77CE0">
        <w:rPr>
          <w:rFonts w:cs="Arial"/>
        </w:rPr>
        <w:t xml:space="preserve"> Kč (1,3 násobek průměru dané věkové kategorie), ve věku od 30 do 49 let dosáhla 4</w:t>
      </w:r>
      <w:r w:rsidR="00494E2E">
        <w:rPr>
          <w:rFonts w:cs="Arial"/>
        </w:rPr>
        <w:t>5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679</w:t>
      </w:r>
      <w:r w:rsidR="00494E2E" w:rsidRPr="00E77CE0">
        <w:rPr>
          <w:rFonts w:cs="Arial"/>
        </w:rPr>
        <w:t> Kč (1,6 násobek) a ve věku nad 50 let dosáhla úrovně 4</w:t>
      </w:r>
      <w:r w:rsidR="00494E2E">
        <w:rPr>
          <w:rFonts w:cs="Arial"/>
        </w:rPr>
        <w:t>4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161</w:t>
      </w:r>
      <w:r w:rsidR="00494E2E" w:rsidRPr="00E77CE0">
        <w:rPr>
          <w:rFonts w:cs="Arial"/>
        </w:rPr>
        <w:t> Kč (1,</w:t>
      </w:r>
      <w:r w:rsidR="00494E2E">
        <w:rPr>
          <w:rFonts w:cs="Arial"/>
        </w:rPr>
        <w:t>6</w:t>
      </w:r>
      <w:r w:rsidR="00494E2E" w:rsidRPr="00E77CE0">
        <w:rPr>
          <w:rFonts w:cs="Arial"/>
        </w:rPr>
        <w:t xml:space="preserve"> násobek).</w:t>
      </w:r>
    </w:p>
    <w:p w:rsidR="0037513D" w:rsidRDefault="0037513D" w:rsidP="0037513D">
      <w:pPr>
        <w:spacing w:line="360" w:lineRule="auto"/>
        <w:jc w:val="both"/>
        <w:rPr>
          <w:rFonts w:cs="Arial"/>
        </w:rPr>
      </w:pPr>
    </w:p>
    <w:p w:rsidR="00494E2E" w:rsidRDefault="0037513D" w:rsidP="0037513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494E2E" w:rsidRPr="00E77CE0">
        <w:rPr>
          <w:rFonts w:cs="Arial"/>
        </w:rPr>
        <w:t xml:space="preserve">Statistika výdělků z ISPV poskytuje i zajímavý </w:t>
      </w:r>
      <w:r w:rsidR="00494E2E" w:rsidRPr="00E77CE0">
        <w:rPr>
          <w:rFonts w:cs="Arial"/>
          <w:b/>
        </w:rPr>
        <w:t>přehled o mzdách zaměstnanců v České republice podle jejich státního občanství</w:t>
      </w:r>
      <w:r w:rsidR="00494E2E" w:rsidRPr="00E77CE0">
        <w:rPr>
          <w:rFonts w:cs="Arial"/>
        </w:rPr>
        <w:t xml:space="preserve">. Absolutně </w:t>
      </w:r>
      <w:r w:rsidR="00494E2E" w:rsidRPr="00E77CE0">
        <w:rPr>
          <w:rFonts w:cs="Arial"/>
          <w:b/>
        </w:rPr>
        <w:t>nejvyšší průměrné mzdy 9</w:t>
      </w:r>
      <w:r w:rsidR="00494E2E">
        <w:rPr>
          <w:rFonts w:cs="Arial"/>
          <w:b/>
        </w:rPr>
        <w:t>6</w:t>
      </w:r>
      <w:r w:rsidR="00494E2E" w:rsidRPr="00E77CE0">
        <w:rPr>
          <w:rFonts w:cs="Arial"/>
          <w:b/>
        </w:rPr>
        <w:t> </w:t>
      </w:r>
      <w:r w:rsidR="00494E2E">
        <w:rPr>
          <w:rFonts w:cs="Arial"/>
          <w:b/>
        </w:rPr>
        <w:t>071</w:t>
      </w:r>
      <w:r w:rsidR="00494E2E" w:rsidRPr="00E77CE0">
        <w:rPr>
          <w:rFonts w:cs="Arial"/>
          <w:b/>
        </w:rPr>
        <w:t> Kč</w:t>
      </w:r>
      <w:r w:rsidR="00494E2E" w:rsidRPr="00E77CE0">
        <w:rPr>
          <w:rFonts w:cs="Arial"/>
        </w:rPr>
        <w:t xml:space="preserve"> v 1.</w:t>
      </w:r>
      <w:r w:rsidR="00494E2E">
        <w:rPr>
          <w:rFonts w:cs="Arial"/>
        </w:rPr>
        <w:t> </w:t>
      </w:r>
      <w:r w:rsidR="00494E2E" w:rsidRPr="00E77CE0">
        <w:rPr>
          <w:rFonts w:cs="Arial"/>
        </w:rPr>
        <w:t xml:space="preserve">pololetí letošního roku v ČR </w:t>
      </w:r>
      <w:r w:rsidR="00494E2E" w:rsidRPr="00E77CE0">
        <w:rPr>
          <w:rFonts w:cs="Arial"/>
          <w:b/>
        </w:rPr>
        <w:t>dosáhli zaměstnanci s německým státním občanstvím</w:t>
      </w:r>
      <w:r w:rsidR="000D69BA">
        <w:rPr>
          <w:rFonts w:cs="Arial"/>
          <w:b/>
        </w:rPr>
        <w:t>,</w:t>
      </w:r>
      <w:r w:rsidR="00494E2E" w:rsidRPr="00E77CE0">
        <w:rPr>
          <w:rFonts w:cs="Arial"/>
        </w:rPr>
        <w:t xml:space="preserve"> a to jak v nemanuálních profesích (</w:t>
      </w:r>
      <w:r w:rsidR="00494E2E">
        <w:rPr>
          <w:rFonts w:cs="Arial"/>
        </w:rPr>
        <w:t>100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833</w:t>
      </w:r>
      <w:r w:rsidR="00494E2E" w:rsidRPr="00E77CE0">
        <w:rPr>
          <w:rFonts w:cs="Arial"/>
        </w:rPr>
        <w:t> Kč), tak i manuálních (</w:t>
      </w:r>
      <w:r w:rsidR="00494E2E">
        <w:rPr>
          <w:rFonts w:cs="Arial"/>
        </w:rPr>
        <w:t>60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031</w:t>
      </w:r>
      <w:r w:rsidR="00494E2E" w:rsidRPr="00E77CE0">
        <w:rPr>
          <w:rFonts w:cs="Arial"/>
        </w:rPr>
        <w:t xml:space="preserve"> Kč). </w:t>
      </w:r>
      <w:r w:rsidR="00494E2E" w:rsidRPr="00E77CE0">
        <w:rPr>
          <w:rFonts w:cs="Arial"/>
          <w:b/>
        </w:rPr>
        <w:t>Druhou nejlépe placenou skupinou zaměstnanců s průměrnou mzdou 3</w:t>
      </w:r>
      <w:r w:rsidR="00494E2E">
        <w:rPr>
          <w:rFonts w:cs="Arial"/>
          <w:b/>
        </w:rPr>
        <w:t>3</w:t>
      </w:r>
      <w:r w:rsidR="00494E2E" w:rsidRPr="00E77CE0">
        <w:rPr>
          <w:rFonts w:cs="Arial"/>
          <w:b/>
        </w:rPr>
        <w:t> </w:t>
      </w:r>
      <w:r w:rsidR="00494E2E">
        <w:rPr>
          <w:rFonts w:cs="Arial"/>
          <w:b/>
        </w:rPr>
        <w:t>125</w:t>
      </w:r>
      <w:r w:rsidR="00494E2E" w:rsidRPr="00E77CE0">
        <w:rPr>
          <w:rFonts w:cs="Arial"/>
          <w:b/>
        </w:rPr>
        <w:t> Kč</w:t>
      </w:r>
      <w:r>
        <w:rPr>
          <w:rFonts w:cs="Arial"/>
          <w:b/>
        </w:rPr>
        <w:t>,</w:t>
      </w:r>
      <w:r w:rsidR="00494E2E" w:rsidRPr="00E77CE0">
        <w:rPr>
          <w:rFonts w:cs="Arial"/>
        </w:rPr>
        <w:t xml:space="preserve"> avšak s</w:t>
      </w:r>
      <w:r w:rsidR="00494E2E">
        <w:rPr>
          <w:rFonts w:cs="Arial"/>
        </w:rPr>
        <w:t xml:space="preserve"> téměř </w:t>
      </w:r>
      <w:r w:rsidR="00494E2E" w:rsidRPr="00E77CE0">
        <w:rPr>
          <w:rFonts w:cs="Arial"/>
        </w:rPr>
        <w:t xml:space="preserve">trojnásobně nižší </w:t>
      </w:r>
      <w:r w:rsidR="00494E2E" w:rsidRPr="00E77CE0">
        <w:rPr>
          <w:rFonts w:cs="Arial"/>
        </w:rPr>
        <w:lastRenderedPageBreak/>
        <w:t>průměrnou mzdou než nejlépe placení Němci, se stali pracovníci z</w:t>
      </w:r>
      <w:r>
        <w:rPr>
          <w:rFonts w:cs="Arial"/>
        </w:rPr>
        <w:t> </w:t>
      </w:r>
      <w:r w:rsidR="00494E2E">
        <w:rPr>
          <w:rFonts w:cs="Arial"/>
          <w:b/>
        </w:rPr>
        <w:t>Rumunska</w:t>
      </w:r>
      <w:r>
        <w:rPr>
          <w:rFonts w:cs="Arial"/>
          <w:b/>
        </w:rPr>
        <w:t>.</w:t>
      </w:r>
      <w:r w:rsidR="00494E2E" w:rsidRPr="00E77CE0">
        <w:rPr>
          <w:rFonts w:cs="Arial"/>
        </w:rPr>
        <w:t xml:space="preserve"> V</w:t>
      </w:r>
      <w:r w:rsidR="00494E2E">
        <w:rPr>
          <w:rFonts w:cs="Arial"/>
        </w:rPr>
        <w:t> průměru v</w:t>
      </w:r>
      <w:r w:rsidR="00494E2E" w:rsidRPr="00E77CE0">
        <w:rPr>
          <w:rFonts w:cs="Arial"/>
        </w:rPr>
        <w:t xml:space="preserve">íce než tuzemští zaměstnanci si vydělali ještě občané </w:t>
      </w:r>
      <w:r w:rsidR="00494E2E">
        <w:rPr>
          <w:rFonts w:cs="Arial"/>
        </w:rPr>
        <w:t xml:space="preserve">ze Slovenska (31 961 Kč), </w:t>
      </w:r>
      <w:r w:rsidR="00494E2E" w:rsidRPr="00E77CE0">
        <w:rPr>
          <w:rFonts w:cs="Arial"/>
        </w:rPr>
        <w:t>Ruské federace</w:t>
      </w:r>
      <w:r w:rsidR="00494E2E">
        <w:rPr>
          <w:rFonts w:cs="Arial"/>
        </w:rPr>
        <w:t xml:space="preserve"> (</w:t>
      </w:r>
      <w:r w:rsidR="00494E2E" w:rsidRPr="00E77CE0">
        <w:rPr>
          <w:rFonts w:cs="Arial"/>
        </w:rPr>
        <w:t>3</w:t>
      </w:r>
      <w:r w:rsidR="00494E2E">
        <w:rPr>
          <w:rFonts w:cs="Arial"/>
        </w:rPr>
        <w:t>1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763</w:t>
      </w:r>
      <w:r w:rsidR="00494E2E" w:rsidRPr="00E77CE0">
        <w:rPr>
          <w:rFonts w:cs="Arial"/>
        </w:rPr>
        <w:t> Kč</w:t>
      </w:r>
      <w:r w:rsidR="00494E2E">
        <w:rPr>
          <w:rFonts w:cs="Arial"/>
        </w:rPr>
        <w:t>) a Polska (27 715 Kč)</w:t>
      </w:r>
      <w:r w:rsidR="00494E2E" w:rsidRPr="00E77CE0">
        <w:rPr>
          <w:rFonts w:cs="Arial"/>
        </w:rPr>
        <w:t>.</w:t>
      </w:r>
      <w:r w:rsidR="00494E2E">
        <w:rPr>
          <w:rFonts w:cs="Arial"/>
        </w:rPr>
        <w:t xml:space="preserve"> </w:t>
      </w:r>
      <w:r w:rsidR="00494E2E" w:rsidRPr="00E77CE0">
        <w:rPr>
          <w:rFonts w:cs="Arial"/>
          <w:b/>
        </w:rPr>
        <w:t>Naopak nejnižší průměrnou mzdu 17 </w:t>
      </w:r>
      <w:r w:rsidR="00494E2E">
        <w:rPr>
          <w:rFonts w:cs="Arial"/>
          <w:b/>
        </w:rPr>
        <w:t>943</w:t>
      </w:r>
      <w:r w:rsidR="00494E2E" w:rsidRPr="00E77CE0">
        <w:rPr>
          <w:rFonts w:cs="Arial"/>
          <w:b/>
        </w:rPr>
        <w:t> Kč obdrželi zaměstnanci z Mongolska, Ukrajiny</w:t>
      </w:r>
      <w:r w:rsidR="00494E2E" w:rsidRPr="00E77CE0">
        <w:rPr>
          <w:rFonts w:cs="Arial"/>
        </w:rPr>
        <w:t xml:space="preserve"> (</w:t>
      </w:r>
      <w:r w:rsidR="00494E2E">
        <w:rPr>
          <w:rFonts w:cs="Arial"/>
        </w:rPr>
        <w:t>20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180</w:t>
      </w:r>
      <w:r w:rsidR="00494E2E" w:rsidRPr="00E77CE0">
        <w:rPr>
          <w:rFonts w:cs="Arial"/>
        </w:rPr>
        <w:t xml:space="preserve"> Kč) </w:t>
      </w:r>
      <w:r w:rsidR="00494E2E" w:rsidRPr="00E77CE0">
        <w:rPr>
          <w:rFonts w:cs="Arial"/>
          <w:b/>
        </w:rPr>
        <w:t>a Vietnamu</w:t>
      </w:r>
      <w:r w:rsidR="00494E2E" w:rsidRPr="00E77CE0">
        <w:rPr>
          <w:rFonts w:cs="Arial"/>
        </w:rPr>
        <w:t xml:space="preserve"> (</w:t>
      </w:r>
      <w:r w:rsidR="00494E2E">
        <w:rPr>
          <w:rFonts w:cs="Arial"/>
        </w:rPr>
        <w:t>20</w:t>
      </w:r>
      <w:r w:rsidR="00494E2E" w:rsidRPr="00E77CE0">
        <w:rPr>
          <w:rFonts w:cs="Arial"/>
        </w:rPr>
        <w:t> 4</w:t>
      </w:r>
      <w:r w:rsidR="00494E2E">
        <w:rPr>
          <w:rFonts w:cs="Arial"/>
        </w:rPr>
        <w:t>70</w:t>
      </w:r>
      <w:r w:rsidR="00494E2E" w:rsidRPr="00E77CE0">
        <w:rPr>
          <w:rFonts w:cs="Arial"/>
        </w:rPr>
        <w:t> Kč). Vezmou-li se v úvahu pouze pracovníci vykonávající manuální práce, patřili k nejhůře odměňovaným občané Ruské federace (průměrná mzda 1</w:t>
      </w:r>
      <w:r w:rsidR="00494E2E">
        <w:rPr>
          <w:rFonts w:cs="Arial"/>
        </w:rPr>
        <w:t>6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302</w:t>
      </w:r>
      <w:r w:rsidR="00494E2E" w:rsidRPr="00E77CE0">
        <w:rPr>
          <w:rFonts w:cs="Arial"/>
        </w:rPr>
        <w:t xml:space="preserve"> Kč), </w:t>
      </w:r>
      <w:r w:rsidR="00494E2E">
        <w:rPr>
          <w:rFonts w:cs="Arial"/>
        </w:rPr>
        <w:t>Ukrajiny</w:t>
      </w:r>
      <w:r w:rsidR="00494E2E" w:rsidRPr="00E77CE0">
        <w:rPr>
          <w:rFonts w:cs="Arial"/>
        </w:rPr>
        <w:t xml:space="preserve"> (1</w:t>
      </w:r>
      <w:r w:rsidR="00494E2E">
        <w:rPr>
          <w:rFonts w:cs="Arial"/>
        </w:rPr>
        <w:t>7</w:t>
      </w:r>
      <w:r w:rsidR="00494E2E" w:rsidRPr="00E77CE0">
        <w:rPr>
          <w:rFonts w:cs="Arial"/>
        </w:rPr>
        <w:t> 2</w:t>
      </w:r>
      <w:r w:rsidR="00494E2E">
        <w:rPr>
          <w:rFonts w:cs="Arial"/>
        </w:rPr>
        <w:t>25</w:t>
      </w:r>
      <w:r w:rsidR="00494E2E" w:rsidRPr="00E77CE0">
        <w:rPr>
          <w:rFonts w:cs="Arial"/>
        </w:rPr>
        <w:t xml:space="preserve"> Kč) a </w:t>
      </w:r>
      <w:r w:rsidR="00494E2E">
        <w:rPr>
          <w:rFonts w:cs="Arial"/>
        </w:rPr>
        <w:t>Mongolska</w:t>
      </w:r>
      <w:r w:rsidR="00494E2E" w:rsidRPr="00E77CE0">
        <w:rPr>
          <w:rFonts w:cs="Arial"/>
        </w:rPr>
        <w:t xml:space="preserve"> (1</w:t>
      </w:r>
      <w:r w:rsidR="00494E2E">
        <w:rPr>
          <w:rFonts w:cs="Arial"/>
        </w:rPr>
        <w:t>7</w:t>
      </w:r>
      <w:r w:rsidR="00494E2E" w:rsidRPr="00E77CE0">
        <w:rPr>
          <w:rFonts w:cs="Arial"/>
        </w:rPr>
        <w:t> 8</w:t>
      </w:r>
      <w:r w:rsidR="00494E2E">
        <w:rPr>
          <w:rFonts w:cs="Arial"/>
        </w:rPr>
        <w:t>87</w:t>
      </w:r>
      <w:r w:rsidR="00494E2E" w:rsidRPr="00E77CE0">
        <w:rPr>
          <w:rFonts w:cs="Arial"/>
        </w:rPr>
        <w:t> Kč). V nemanuálních profesích byli vedle výše zmíněných německých zaměstnanců nejlépe placeni rovněž občané Rumunska (52 </w:t>
      </w:r>
      <w:r w:rsidR="00494E2E">
        <w:rPr>
          <w:rFonts w:cs="Arial"/>
        </w:rPr>
        <w:t>15</w:t>
      </w:r>
      <w:r w:rsidR="00494E2E" w:rsidRPr="00E77CE0">
        <w:rPr>
          <w:rFonts w:cs="Arial"/>
        </w:rPr>
        <w:t>2 Kč) a</w:t>
      </w:r>
      <w:r w:rsidR="000D69BA">
        <w:rPr>
          <w:rFonts w:cs="Arial"/>
        </w:rPr>
        <w:t xml:space="preserve"> </w:t>
      </w:r>
      <w:r w:rsidR="00494E2E">
        <w:rPr>
          <w:rFonts w:cs="Arial"/>
        </w:rPr>
        <w:t>Polska</w:t>
      </w:r>
      <w:r w:rsidR="00494E2E" w:rsidRPr="00E77CE0">
        <w:rPr>
          <w:rFonts w:cs="Arial"/>
        </w:rPr>
        <w:t xml:space="preserve"> (4</w:t>
      </w:r>
      <w:r w:rsidR="00494E2E">
        <w:rPr>
          <w:rFonts w:cs="Arial"/>
        </w:rPr>
        <w:t>7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681</w:t>
      </w:r>
      <w:r w:rsidR="00494E2E" w:rsidRPr="00E77CE0">
        <w:rPr>
          <w:rFonts w:cs="Arial"/>
        </w:rPr>
        <w:t> Kč), což</w:t>
      </w:r>
      <w:r>
        <w:rPr>
          <w:rFonts w:cs="Arial"/>
        </w:rPr>
        <w:t> </w:t>
      </w:r>
      <w:r w:rsidR="00494E2E" w:rsidRPr="00E77CE0">
        <w:rPr>
          <w:rFonts w:cs="Arial"/>
        </w:rPr>
        <w:t>bylo dáno pravděpodobně tím, že tito zaměstnanci vykonávají nadstandardně placené řídící, vedoucí a manažerské funkce a není jich v těchto pozicích mnoho.</w:t>
      </w:r>
    </w:p>
    <w:p w:rsidR="0037513D" w:rsidRDefault="0037513D" w:rsidP="0037513D">
      <w:pPr>
        <w:spacing w:line="360" w:lineRule="auto"/>
        <w:jc w:val="both"/>
        <w:rPr>
          <w:rFonts w:cs="Arial"/>
        </w:rPr>
      </w:pPr>
    </w:p>
    <w:p w:rsidR="00494E2E" w:rsidRDefault="0037513D" w:rsidP="0037513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494E2E" w:rsidRPr="003102AC">
        <w:rPr>
          <w:rFonts w:cs="Arial"/>
          <w:b/>
        </w:rPr>
        <w:t>Průměrná mzda zaměstnanců s invalidním důchodem</w:t>
      </w:r>
      <w:r w:rsidR="00494E2E" w:rsidRPr="00E77CE0">
        <w:rPr>
          <w:rFonts w:cs="Arial"/>
        </w:rPr>
        <w:t xml:space="preserve"> pro invaliditu prvního </w:t>
      </w:r>
      <w:r w:rsidR="00494E2E">
        <w:rPr>
          <w:rFonts w:cs="Arial"/>
        </w:rPr>
        <w:t>a</w:t>
      </w:r>
      <w:r w:rsidR="00494E2E" w:rsidRPr="00E77CE0">
        <w:rPr>
          <w:rFonts w:cs="Arial"/>
        </w:rPr>
        <w:t xml:space="preserve"> druhého stupně dosáhla úrovně 1</w:t>
      </w:r>
      <w:r w:rsidR="00494E2E">
        <w:rPr>
          <w:rFonts w:cs="Arial"/>
        </w:rPr>
        <w:t>7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587</w:t>
      </w:r>
      <w:r w:rsidR="00494E2E" w:rsidRPr="00E77CE0">
        <w:rPr>
          <w:rFonts w:cs="Arial"/>
        </w:rPr>
        <w:t> Kč, u</w:t>
      </w:r>
      <w:r w:rsidR="00494E2E">
        <w:rPr>
          <w:rFonts w:cs="Arial"/>
        </w:rPr>
        <w:t> </w:t>
      </w:r>
      <w:r w:rsidR="00494E2E" w:rsidRPr="00E77CE0">
        <w:rPr>
          <w:rFonts w:cs="Arial"/>
        </w:rPr>
        <w:t xml:space="preserve">zaměstnanců s invalidním důchodem pro invaliditu třetího stupně byla o </w:t>
      </w:r>
      <w:r w:rsidR="00494E2E">
        <w:rPr>
          <w:rFonts w:cs="Arial"/>
        </w:rPr>
        <w:t>54</w:t>
      </w:r>
      <w:r>
        <w:rPr>
          <w:rFonts w:cs="Arial"/>
        </w:rPr>
        <w:t> </w:t>
      </w:r>
      <w:r w:rsidR="00494E2E" w:rsidRPr="00E77CE0">
        <w:rPr>
          <w:rFonts w:cs="Arial"/>
        </w:rPr>
        <w:t>Kč nižší a činila 1</w:t>
      </w:r>
      <w:r w:rsidR="00494E2E">
        <w:rPr>
          <w:rFonts w:cs="Arial"/>
        </w:rPr>
        <w:t>7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533</w:t>
      </w:r>
      <w:r w:rsidR="00494E2E" w:rsidRPr="00E77CE0">
        <w:rPr>
          <w:rFonts w:cs="Arial"/>
        </w:rPr>
        <w:t> Kč (tj.</w:t>
      </w:r>
      <w:r>
        <w:rPr>
          <w:rFonts w:cs="Arial"/>
        </w:rPr>
        <w:t> </w:t>
      </w:r>
      <w:r w:rsidR="00494E2E" w:rsidRPr="00E77CE0">
        <w:rPr>
          <w:rFonts w:cs="Arial"/>
        </w:rPr>
        <w:t>cca</w:t>
      </w:r>
      <w:r>
        <w:rPr>
          <w:rFonts w:cs="Arial"/>
        </w:rPr>
        <w:t> </w:t>
      </w:r>
      <w:r w:rsidR="00494E2E" w:rsidRPr="00E77CE0">
        <w:rPr>
          <w:rFonts w:cs="Arial"/>
        </w:rPr>
        <w:t>6</w:t>
      </w:r>
      <w:r w:rsidR="00494E2E">
        <w:rPr>
          <w:rFonts w:cs="Arial"/>
        </w:rPr>
        <w:t>4</w:t>
      </w:r>
      <w:r w:rsidR="00494E2E" w:rsidRPr="00E77CE0">
        <w:rPr>
          <w:rFonts w:cs="Arial"/>
        </w:rPr>
        <w:t> % průměrné mzdy všech zaměstnanců).</w:t>
      </w:r>
    </w:p>
    <w:p w:rsidR="0037513D" w:rsidRDefault="0037513D" w:rsidP="0037513D">
      <w:pPr>
        <w:spacing w:line="360" w:lineRule="auto"/>
        <w:jc w:val="both"/>
        <w:rPr>
          <w:rFonts w:cs="Arial"/>
        </w:rPr>
      </w:pPr>
    </w:p>
    <w:p w:rsidR="00494E2E" w:rsidRDefault="0037513D" w:rsidP="0037513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494E2E">
        <w:rPr>
          <w:rFonts w:cs="Arial"/>
        </w:rPr>
        <w:t>Stále více</w:t>
      </w:r>
      <w:r w:rsidR="00494E2E" w:rsidRPr="00E77CE0">
        <w:rPr>
          <w:rFonts w:cs="Arial"/>
        </w:rPr>
        <w:t xml:space="preserve"> se stává rozšířenou a využívanou práce na tzv. kratší pracovní úvazky. Ve sledovaném období průměrná mzda zaměstnance, který pracoval na</w:t>
      </w:r>
      <w:r w:rsidR="00120714">
        <w:rPr>
          <w:rFonts w:cs="Arial"/>
        </w:rPr>
        <w:t> </w:t>
      </w:r>
      <w:r w:rsidR="00494E2E" w:rsidRPr="00E77CE0">
        <w:rPr>
          <w:rFonts w:cs="Arial"/>
        </w:rPr>
        <w:t>zkrácený pracovní úvazek, meziročně vzrostla o 3,7 % na 2</w:t>
      </w:r>
      <w:r w:rsidR="00494E2E">
        <w:rPr>
          <w:rFonts w:cs="Arial"/>
        </w:rPr>
        <w:t>3</w:t>
      </w:r>
      <w:r w:rsidR="00494E2E" w:rsidRPr="00E77CE0">
        <w:rPr>
          <w:rFonts w:cs="Arial"/>
        </w:rPr>
        <w:t> </w:t>
      </w:r>
      <w:r w:rsidR="00494E2E">
        <w:rPr>
          <w:rFonts w:cs="Arial"/>
        </w:rPr>
        <w:t>924</w:t>
      </w:r>
      <w:r w:rsidR="00494E2E" w:rsidRPr="00E77CE0">
        <w:rPr>
          <w:rFonts w:cs="Arial"/>
        </w:rPr>
        <w:t> Kč</w:t>
      </w:r>
      <w:r w:rsidR="00494E2E">
        <w:rPr>
          <w:rFonts w:cs="Arial"/>
        </w:rPr>
        <w:t xml:space="preserve"> (přepočteno na plný pracovní úvazek)</w:t>
      </w:r>
      <w:r w:rsidR="00494E2E" w:rsidRPr="00E77CE0">
        <w:rPr>
          <w:rFonts w:cs="Arial"/>
        </w:rPr>
        <w:t>.</w:t>
      </w:r>
    </w:p>
    <w:p w:rsidR="0037513D" w:rsidRDefault="0037513D" w:rsidP="0037513D">
      <w:pPr>
        <w:spacing w:line="360" w:lineRule="auto"/>
        <w:jc w:val="both"/>
        <w:rPr>
          <w:rFonts w:cs="Arial"/>
        </w:rPr>
      </w:pPr>
    </w:p>
    <w:p w:rsidR="00120714" w:rsidRDefault="00120714" w:rsidP="0037513D">
      <w:pPr>
        <w:spacing w:line="360" w:lineRule="auto"/>
        <w:jc w:val="both"/>
        <w:rPr>
          <w:rFonts w:cs="Arial"/>
        </w:rPr>
      </w:pPr>
    </w:p>
    <w:p w:rsidR="00494E2E" w:rsidRDefault="0037513D" w:rsidP="0037513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494E2E" w:rsidRPr="00E77CE0">
        <w:rPr>
          <w:rFonts w:cs="Arial"/>
        </w:rPr>
        <w:t>Podrobné statistiky o výdělcích (včetně mzdové distribuce) jednotlivých skupin zaměstnanců z Informačního systému o průměrném výdělku jsou součástí tabulkové přílohy jako samostatná složka na konci materiálu.</w:t>
      </w:r>
    </w:p>
    <w:p w:rsidR="000443AA" w:rsidRDefault="000443AA" w:rsidP="001C4F8C">
      <w:pPr>
        <w:spacing w:line="360" w:lineRule="auto"/>
        <w:jc w:val="both"/>
        <w:rPr>
          <w:rFonts w:cs="Arial"/>
        </w:rPr>
      </w:pPr>
    </w:p>
    <w:p w:rsidR="0037513D" w:rsidRDefault="0037513D" w:rsidP="001C4F8C">
      <w:pPr>
        <w:spacing w:line="360" w:lineRule="auto"/>
        <w:jc w:val="both"/>
        <w:rPr>
          <w:rFonts w:cs="Arial"/>
        </w:rPr>
      </w:pPr>
    </w:p>
    <w:p w:rsidR="009B1DB6" w:rsidRDefault="009B1DB6" w:rsidP="001C4F8C">
      <w:pPr>
        <w:spacing w:line="360" w:lineRule="auto"/>
        <w:jc w:val="both"/>
        <w:rPr>
          <w:rFonts w:cs="Arial"/>
        </w:rPr>
      </w:pPr>
    </w:p>
    <w:p w:rsidR="009B1DB6" w:rsidRDefault="009B1DB6" w:rsidP="001C4F8C">
      <w:pPr>
        <w:spacing w:line="360" w:lineRule="auto"/>
        <w:jc w:val="both"/>
        <w:rPr>
          <w:rFonts w:cs="Arial"/>
        </w:rPr>
      </w:pPr>
    </w:p>
    <w:p w:rsidR="00120714" w:rsidRDefault="00120714" w:rsidP="001C4F8C">
      <w:pPr>
        <w:spacing w:line="360" w:lineRule="auto"/>
        <w:jc w:val="both"/>
        <w:rPr>
          <w:rFonts w:cs="Arial"/>
        </w:rPr>
      </w:pPr>
    </w:p>
    <w:p w:rsidR="009B1DB6" w:rsidRDefault="009B1DB6" w:rsidP="001C4F8C">
      <w:pPr>
        <w:spacing w:line="360" w:lineRule="auto"/>
        <w:jc w:val="both"/>
        <w:rPr>
          <w:rFonts w:cs="Arial"/>
        </w:rPr>
      </w:pPr>
    </w:p>
    <w:p w:rsidR="009B1DB6" w:rsidRDefault="009B1DB6" w:rsidP="001C4F8C">
      <w:pPr>
        <w:spacing w:line="360" w:lineRule="auto"/>
        <w:jc w:val="both"/>
        <w:rPr>
          <w:rFonts w:cs="Arial"/>
        </w:rPr>
      </w:pPr>
    </w:p>
    <w:p w:rsidR="004A450D" w:rsidRPr="004A450D" w:rsidRDefault="004A450D" w:rsidP="004A450D">
      <w:pPr>
        <w:spacing w:line="360" w:lineRule="auto"/>
        <w:rPr>
          <w:rFonts w:cs="Arial"/>
          <w:b/>
          <w:i/>
          <w:sz w:val="32"/>
          <w:szCs w:val="32"/>
        </w:rPr>
      </w:pPr>
      <w:r w:rsidRPr="004A450D">
        <w:rPr>
          <w:rFonts w:cs="Arial"/>
          <w:b/>
          <w:i/>
          <w:sz w:val="32"/>
          <w:szCs w:val="32"/>
        </w:rPr>
        <w:lastRenderedPageBreak/>
        <w:t xml:space="preserve">1.3 Sociální příjmy </w:t>
      </w:r>
    </w:p>
    <w:p w:rsidR="00B54F88" w:rsidRDefault="00B54F88" w:rsidP="004A450D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706F4C" w:rsidRDefault="00706F4C" w:rsidP="004A450D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0443AA" w:rsidRDefault="000443AA" w:rsidP="000443AA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4A450D">
        <w:rPr>
          <w:rFonts w:cs="Arial"/>
          <w:b/>
        </w:rPr>
        <w:t>Celkový objem</w:t>
      </w:r>
      <w:r w:rsidRPr="004A450D">
        <w:rPr>
          <w:rFonts w:cs="Arial"/>
        </w:rPr>
        <w:t xml:space="preserve"> sociálních příjmů (druhé nejvyšší složky peněžních příjmů domácností) </w:t>
      </w:r>
      <w:r w:rsidRPr="004A450D">
        <w:rPr>
          <w:rFonts w:cs="Arial"/>
          <w:b/>
        </w:rPr>
        <w:t>dosáhl</w:t>
      </w:r>
      <w:r w:rsidRPr="004A450D">
        <w:rPr>
          <w:rFonts w:cs="Arial"/>
        </w:rPr>
        <w:t xml:space="preserve"> v 1. pololetí 201</w:t>
      </w:r>
      <w:r>
        <w:rPr>
          <w:rFonts w:cs="Arial"/>
        </w:rPr>
        <w:t>5</w:t>
      </w:r>
      <w:r w:rsidRPr="004A450D">
        <w:rPr>
          <w:rFonts w:cs="Arial"/>
        </w:rPr>
        <w:t xml:space="preserve"> částky </w:t>
      </w:r>
      <w:r w:rsidRPr="004A450D">
        <w:rPr>
          <w:rFonts w:cs="Arial"/>
          <w:b/>
        </w:rPr>
        <w:t>23</w:t>
      </w:r>
      <w:r>
        <w:rPr>
          <w:rFonts w:cs="Arial"/>
          <w:b/>
        </w:rPr>
        <w:t>6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2</w:t>
      </w:r>
      <w:r w:rsidRPr="004A450D">
        <w:rPr>
          <w:rFonts w:cs="Arial"/>
          <w:b/>
        </w:rPr>
        <w:t xml:space="preserve"> mld. Kč a</w:t>
      </w:r>
      <w:r w:rsidR="00EA47DB">
        <w:rPr>
          <w:rFonts w:cs="Arial"/>
          <w:b/>
        </w:rPr>
        <w:t xml:space="preserve"> </w:t>
      </w:r>
      <w:r w:rsidRPr="004A450D">
        <w:rPr>
          <w:rFonts w:cs="Arial"/>
          <w:b/>
        </w:rPr>
        <w:t>byl o </w:t>
      </w:r>
      <w:r>
        <w:rPr>
          <w:rFonts w:cs="Arial"/>
          <w:b/>
        </w:rPr>
        <w:t>5</w:t>
      </w:r>
      <w:r w:rsidRPr="004A450D">
        <w:rPr>
          <w:rFonts w:cs="Arial"/>
          <w:b/>
        </w:rPr>
        <w:t xml:space="preserve">,4 mld. Kč </w:t>
      </w:r>
      <w:r w:rsidRPr="004A450D">
        <w:rPr>
          <w:rFonts w:cs="Arial"/>
        </w:rPr>
        <w:t>(tj. o </w:t>
      </w:r>
      <w:r>
        <w:rPr>
          <w:rFonts w:cs="Arial"/>
        </w:rPr>
        <w:t>2</w:t>
      </w:r>
      <w:r w:rsidRPr="004A450D">
        <w:rPr>
          <w:rFonts w:cs="Arial"/>
        </w:rPr>
        <w:t>,</w:t>
      </w:r>
      <w:r>
        <w:rPr>
          <w:rFonts w:cs="Arial"/>
        </w:rPr>
        <w:t>4</w:t>
      </w:r>
      <w:r w:rsidR="00EA47DB">
        <w:rPr>
          <w:rFonts w:cs="Arial"/>
        </w:rPr>
        <w:t> </w:t>
      </w:r>
      <w:r w:rsidRPr="004A450D">
        <w:rPr>
          <w:rFonts w:cs="Arial"/>
        </w:rPr>
        <w:t xml:space="preserve">%) nominálně </w:t>
      </w:r>
      <w:r w:rsidRPr="004A450D">
        <w:rPr>
          <w:rFonts w:cs="Arial"/>
          <w:b/>
        </w:rPr>
        <w:t>vyšší</w:t>
      </w:r>
      <w:r w:rsidRPr="004A450D">
        <w:rPr>
          <w:rFonts w:cs="Arial"/>
        </w:rPr>
        <w:t xml:space="preserve"> než ve stejném období roku 201</w:t>
      </w:r>
      <w:r>
        <w:rPr>
          <w:rFonts w:cs="Arial"/>
        </w:rPr>
        <w:t>4</w:t>
      </w:r>
      <w:r w:rsidRPr="004A450D">
        <w:rPr>
          <w:rFonts w:cs="Arial"/>
        </w:rPr>
        <w:t xml:space="preserve">. </w:t>
      </w:r>
      <w:r w:rsidRPr="004A450D">
        <w:rPr>
          <w:rFonts w:cs="Arial"/>
          <w:b/>
        </w:rPr>
        <w:t xml:space="preserve">Pokles </w:t>
      </w:r>
      <w:r w:rsidRPr="004A450D">
        <w:rPr>
          <w:rFonts w:cs="Arial"/>
        </w:rPr>
        <w:t>byl zaznamenán u</w:t>
      </w:r>
      <w:r w:rsidRPr="004A450D">
        <w:rPr>
          <w:rFonts w:cs="Arial"/>
          <w:b/>
        </w:rPr>
        <w:t> podpor v</w:t>
      </w:r>
      <w:r>
        <w:rPr>
          <w:rFonts w:cs="Arial"/>
          <w:b/>
        </w:rPr>
        <w:t> </w:t>
      </w:r>
      <w:r w:rsidRPr="004A450D">
        <w:rPr>
          <w:rFonts w:cs="Arial"/>
          <w:b/>
        </w:rPr>
        <w:t>nezaměstnanosti</w:t>
      </w:r>
      <w:r>
        <w:rPr>
          <w:rFonts w:cs="Arial"/>
          <w:b/>
        </w:rPr>
        <w:t>,</w:t>
      </w:r>
      <w:r w:rsidRPr="004A450D">
        <w:rPr>
          <w:rFonts w:cs="Arial"/>
          <w:b/>
        </w:rPr>
        <w:t xml:space="preserve"> dávek </w:t>
      </w:r>
      <w:r>
        <w:rPr>
          <w:rFonts w:cs="Arial"/>
          <w:b/>
        </w:rPr>
        <w:t>pomoci v hmotné nouzi a dávek státní sociální podpory</w:t>
      </w:r>
      <w:r w:rsidR="00EA47DB">
        <w:rPr>
          <w:rFonts w:cs="Arial"/>
          <w:b/>
        </w:rPr>
        <w:t>.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</w:rPr>
        <w:t>Příjmy občanů z ostatních druhů sociálních dávek se zvýšily</w:t>
      </w:r>
      <w:r w:rsidRPr="004A450D">
        <w:rPr>
          <w:rFonts w:cs="Arial"/>
        </w:rPr>
        <w:t xml:space="preserve"> </w:t>
      </w:r>
      <w:r>
        <w:rPr>
          <w:rFonts w:cs="Arial"/>
        </w:rPr>
        <w:t>–</w:t>
      </w:r>
      <w:r w:rsidRPr="004A450D">
        <w:rPr>
          <w:rFonts w:cs="Arial"/>
        </w:rPr>
        <w:t xml:space="preserve"> viz</w:t>
      </w:r>
      <w:r>
        <w:rPr>
          <w:rFonts w:cs="Arial"/>
        </w:rPr>
        <w:t> </w:t>
      </w:r>
      <w:r w:rsidRPr="004A450D">
        <w:rPr>
          <w:rFonts w:cs="Arial"/>
        </w:rPr>
        <w:t>tabulku č. 9 v příloze.</w:t>
      </w:r>
    </w:p>
    <w:p w:rsidR="000443AA" w:rsidRDefault="000443AA" w:rsidP="000443AA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C91C50" w:rsidRDefault="00C91C50" w:rsidP="000443AA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0443AA" w:rsidRDefault="000443AA" w:rsidP="00C91C50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b/>
        </w:rPr>
      </w:pPr>
      <w:r>
        <w:rPr>
          <w:rFonts w:cs="Arial"/>
        </w:rPr>
        <w:tab/>
      </w:r>
      <w:r w:rsidRPr="004A450D">
        <w:rPr>
          <w:rFonts w:cs="Arial"/>
          <w:b/>
          <w:u w:val="single"/>
        </w:rPr>
        <w:t>Dávky důchodového pojištěn</w:t>
      </w:r>
      <w:r w:rsidR="00EA47DB">
        <w:rPr>
          <w:rFonts w:cs="Arial"/>
          <w:b/>
          <w:u w:val="single"/>
        </w:rPr>
        <w:t>í,</w:t>
      </w:r>
      <w:r w:rsidRPr="004A450D">
        <w:rPr>
          <w:rFonts w:cs="Arial"/>
        </w:rPr>
        <w:t xml:space="preserve"> na které bylo v 1.</w:t>
      </w:r>
      <w:r w:rsidR="00EA47DB">
        <w:rPr>
          <w:rFonts w:cs="Arial"/>
        </w:rPr>
        <w:t> </w:t>
      </w:r>
      <w:r w:rsidRPr="004A450D">
        <w:rPr>
          <w:rFonts w:cs="Arial"/>
        </w:rPr>
        <w:t>pololetí 201</w:t>
      </w:r>
      <w:r w:rsidR="00952E14">
        <w:rPr>
          <w:rFonts w:cs="Arial"/>
        </w:rPr>
        <w:t>5</w:t>
      </w:r>
      <w:r w:rsidRPr="004A450D">
        <w:rPr>
          <w:rFonts w:cs="Arial"/>
        </w:rPr>
        <w:t xml:space="preserve"> poskytnuto bez dávek vyplácených do ciziny </w:t>
      </w:r>
      <w:r w:rsidRPr="004A450D">
        <w:rPr>
          <w:rFonts w:cs="Arial"/>
          <w:b/>
        </w:rPr>
        <w:t>1</w:t>
      </w:r>
      <w:r>
        <w:rPr>
          <w:rFonts w:cs="Arial"/>
          <w:b/>
        </w:rPr>
        <w:t>83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4</w:t>
      </w:r>
      <w:r w:rsidRPr="004A450D">
        <w:rPr>
          <w:rFonts w:cs="Arial"/>
          <w:b/>
        </w:rPr>
        <w:t xml:space="preserve"> mld. Kč</w:t>
      </w:r>
      <w:r w:rsidR="00EA47DB">
        <w:rPr>
          <w:rFonts w:cs="Arial"/>
          <w:b/>
        </w:rPr>
        <w:t>,</w:t>
      </w:r>
      <w:r w:rsidRPr="004A450D">
        <w:rPr>
          <w:rFonts w:cs="Arial"/>
        </w:rPr>
        <w:t xml:space="preserve"> tj. </w:t>
      </w:r>
      <w:r w:rsidRPr="004A450D">
        <w:rPr>
          <w:rFonts w:cs="Arial"/>
          <w:b/>
        </w:rPr>
        <w:t>o </w:t>
      </w:r>
      <w:r>
        <w:rPr>
          <w:rFonts w:cs="Arial"/>
          <w:b/>
        </w:rPr>
        <w:t>4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7</w:t>
      </w:r>
      <w:r w:rsidRPr="004A450D">
        <w:rPr>
          <w:rFonts w:cs="Arial"/>
          <w:b/>
        </w:rPr>
        <w:t> mld. Kč</w:t>
      </w:r>
      <w:r w:rsidRPr="004A450D">
        <w:rPr>
          <w:rFonts w:cs="Arial"/>
        </w:rPr>
        <w:t xml:space="preserve"> (o </w:t>
      </w:r>
      <w:r>
        <w:rPr>
          <w:rFonts w:cs="Arial"/>
        </w:rPr>
        <w:t>2</w:t>
      </w:r>
      <w:r w:rsidRPr="004A450D">
        <w:rPr>
          <w:rFonts w:cs="Arial"/>
        </w:rPr>
        <w:t>,</w:t>
      </w:r>
      <w:r>
        <w:rPr>
          <w:rFonts w:cs="Arial"/>
        </w:rPr>
        <w:t>6</w:t>
      </w:r>
      <w:r w:rsidRPr="004A450D">
        <w:rPr>
          <w:rFonts w:cs="Arial"/>
        </w:rPr>
        <w:t xml:space="preserve"> %) </w:t>
      </w:r>
      <w:r w:rsidRPr="004A450D">
        <w:rPr>
          <w:rFonts w:cs="Arial"/>
          <w:b/>
        </w:rPr>
        <w:t>více</w:t>
      </w:r>
      <w:r w:rsidRPr="004A450D">
        <w:rPr>
          <w:rFonts w:cs="Arial"/>
        </w:rPr>
        <w:t xml:space="preserve"> než ve srovnatelném období roku 201</w:t>
      </w:r>
      <w:r>
        <w:rPr>
          <w:rFonts w:cs="Arial"/>
        </w:rPr>
        <w:t>4</w:t>
      </w:r>
      <w:r w:rsidRPr="004A450D">
        <w:rPr>
          <w:rFonts w:cs="Arial"/>
        </w:rPr>
        <w:t>, se podílely na celkové úrovni sociálních příjmů domácností 77,</w:t>
      </w:r>
      <w:r>
        <w:rPr>
          <w:rFonts w:cs="Arial"/>
        </w:rPr>
        <w:t>6</w:t>
      </w:r>
      <w:r w:rsidRPr="004A450D">
        <w:rPr>
          <w:rFonts w:cs="Arial"/>
        </w:rPr>
        <w:t xml:space="preserve"> %. Výdaje související s </w:t>
      </w:r>
      <w:r w:rsidRPr="004A450D">
        <w:rPr>
          <w:rFonts w:cs="Arial"/>
          <w:b/>
        </w:rPr>
        <w:t>valorizací důchodů</w:t>
      </w:r>
      <w:r w:rsidR="00EA47DB">
        <w:rPr>
          <w:rFonts w:cs="Arial"/>
          <w:b/>
        </w:rPr>
        <w:t>,</w:t>
      </w:r>
      <w:r w:rsidRPr="004A450D">
        <w:rPr>
          <w:rFonts w:cs="Arial"/>
        </w:rPr>
        <w:t xml:space="preserve"> která proběhla v lednu 201</w:t>
      </w:r>
      <w:r>
        <w:rPr>
          <w:rFonts w:cs="Arial"/>
        </w:rPr>
        <w:t>5</w:t>
      </w:r>
      <w:r w:rsidRPr="004A450D">
        <w:rPr>
          <w:rFonts w:cs="Arial"/>
        </w:rPr>
        <w:t xml:space="preserve">, činily od počátku roku </w:t>
      </w:r>
      <w:r w:rsidRPr="007B521A">
        <w:rPr>
          <w:rFonts w:cs="Arial"/>
          <w:b/>
        </w:rPr>
        <w:t>3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3</w:t>
      </w:r>
      <w:r w:rsidRPr="004A450D">
        <w:rPr>
          <w:rFonts w:cs="Arial"/>
          <w:b/>
        </w:rPr>
        <w:t xml:space="preserve"> mld. Kč</w:t>
      </w:r>
      <w:r>
        <w:rPr>
          <w:rFonts w:cs="Arial"/>
          <w:b/>
        </w:rPr>
        <w:t>.</w:t>
      </w:r>
    </w:p>
    <w:p w:rsidR="000443AA" w:rsidRDefault="000443AA" w:rsidP="00C91C50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 w:rsidRPr="004A450D">
        <w:rPr>
          <w:rFonts w:cs="Arial"/>
        </w:rPr>
        <w:t xml:space="preserve">Nárůst zaznamenaly </w:t>
      </w:r>
      <w:r w:rsidRPr="004A450D">
        <w:rPr>
          <w:rFonts w:cs="Arial"/>
          <w:b/>
        </w:rPr>
        <w:t>výdaje na starobní důchody</w:t>
      </w:r>
      <w:r w:rsidR="00EA47DB">
        <w:rPr>
          <w:rFonts w:cs="Arial"/>
          <w:b/>
        </w:rPr>
        <w:t>,</w:t>
      </w:r>
      <w:r w:rsidRPr="004A450D">
        <w:rPr>
          <w:rFonts w:cs="Arial"/>
        </w:rPr>
        <w:t xml:space="preserve"> které se zvýšily o </w:t>
      </w:r>
      <w:r>
        <w:rPr>
          <w:rFonts w:cs="Arial"/>
        </w:rPr>
        <w:t>4</w:t>
      </w:r>
      <w:r w:rsidRPr="004A450D">
        <w:rPr>
          <w:rFonts w:cs="Arial"/>
        </w:rPr>
        <w:t>,</w:t>
      </w:r>
      <w:r>
        <w:rPr>
          <w:rFonts w:cs="Arial"/>
        </w:rPr>
        <w:t>7</w:t>
      </w:r>
      <w:r w:rsidRPr="004A450D">
        <w:rPr>
          <w:rFonts w:cs="Arial"/>
        </w:rPr>
        <w:t xml:space="preserve"> mld. Kč (o </w:t>
      </w:r>
      <w:r>
        <w:rPr>
          <w:rFonts w:cs="Arial"/>
        </w:rPr>
        <w:t>3</w:t>
      </w:r>
      <w:r w:rsidRPr="004A450D">
        <w:rPr>
          <w:rFonts w:cs="Arial"/>
        </w:rPr>
        <w:t>,</w:t>
      </w:r>
      <w:r>
        <w:rPr>
          <w:rFonts w:cs="Arial"/>
        </w:rPr>
        <w:t>2</w:t>
      </w:r>
      <w:r w:rsidR="00EA47DB">
        <w:rPr>
          <w:rFonts w:cs="Arial"/>
        </w:rPr>
        <w:t> </w:t>
      </w:r>
      <w:r w:rsidRPr="004A450D">
        <w:rPr>
          <w:rFonts w:cs="Arial"/>
        </w:rPr>
        <w:t xml:space="preserve">%) na </w:t>
      </w:r>
      <w:r w:rsidRPr="004A450D">
        <w:rPr>
          <w:rFonts w:cs="Arial"/>
          <w:b/>
        </w:rPr>
        <w:t>14</w:t>
      </w:r>
      <w:r>
        <w:rPr>
          <w:rFonts w:cs="Arial"/>
          <w:b/>
        </w:rPr>
        <w:t>9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4</w:t>
      </w:r>
      <w:r w:rsidRPr="004A450D">
        <w:rPr>
          <w:rFonts w:cs="Arial"/>
          <w:b/>
        </w:rPr>
        <w:t xml:space="preserve"> mld. Kč</w:t>
      </w:r>
      <w:r w:rsidR="00EA47DB">
        <w:rPr>
          <w:rFonts w:cs="Arial"/>
          <w:b/>
        </w:rPr>
        <w:t>.</w:t>
      </w:r>
      <w:r w:rsidRPr="004A450D">
        <w:rPr>
          <w:rFonts w:cs="Arial"/>
        </w:rPr>
        <w:t xml:space="preserve"> Jejich podíl na celkovém objemu výdajů na</w:t>
      </w:r>
      <w:r w:rsidR="00EA47DB">
        <w:rPr>
          <w:rFonts w:cs="Arial"/>
        </w:rPr>
        <w:t xml:space="preserve"> </w:t>
      </w:r>
      <w:r w:rsidRPr="004A450D">
        <w:rPr>
          <w:rFonts w:cs="Arial"/>
        </w:rPr>
        <w:t>dávky důchodového pojištění dosáhl 81,</w:t>
      </w:r>
      <w:r>
        <w:rPr>
          <w:rFonts w:cs="Arial"/>
        </w:rPr>
        <w:t>5</w:t>
      </w:r>
      <w:r w:rsidR="00EA47DB">
        <w:rPr>
          <w:rFonts w:cs="Arial"/>
        </w:rPr>
        <w:t> </w:t>
      </w:r>
      <w:r w:rsidRPr="004A450D">
        <w:rPr>
          <w:rFonts w:cs="Arial"/>
        </w:rPr>
        <w:t xml:space="preserve">%. Výdaje </w:t>
      </w:r>
      <w:r w:rsidRPr="004A450D">
        <w:rPr>
          <w:rFonts w:cs="Arial"/>
          <w:b/>
        </w:rPr>
        <w:t>na invalidní důchody</w:t>
      </w:r>
      <w:r w:rsidRPr="004A450D">
        <w:rPr>
          <w:rFonts w:cs="Arial"/>
        </w:rPr>
        <w:t xml:space="preserve"> </w:t>
      </w:r>
      <w:r>
        <w:rPr>
          <w:rFonts w:cs="Arial"/>
        </w:rPr>
        <w:t xml:space="preserve">zůstaly </w:t>
      </w:r>
      <w:r w:rsidRPr="0047254A">
        <w:rPr>
          <w:rFonts w:cs="Arial"/>
          <w:b/>
        </w:rPr>
        <w:t>stejné</w:t>
      </w:r>
      <w:r>
        <w:rPr>
          <w:rFonts w:cs="Arial"/>
        </w:rPr>
        <w:t xml:space="preserve"> jako v 1. pololetí 2014, tj.</w:t>
      </w:r>
      <w:r w:rsidRPr="004A450D">
        <w:rPr>
          <w:rFonts w:cs="Arial"/>
          <w:b/>
        </w:rPr>
        <w:t xml:space="preserve"> 20,9 mld. Kč</w:t>
      </w:r>
      <w:r>
        <w:rPr>
          <w:rFonts w:cs="Arial"/>
          <w:b/>
        </w:rPr>
        <w:t>.</w:t>
      </w:r>
    </w:p>
    <w:p w:rsidR="000443AA" w:rsidRPr="00FF5A2B" w:rsidRDefault="000443AA" w:rsidP="000443AA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b/>
        </w:rPr>
        <w:tab/>
      </w:r>
      <w:r w:rsidRPr="004A450D">
        <w:rPr>
          <w:rFonts w:cs="Arial"/>
          <w:b/>
        </w:rPr>
        <w:t>Průměrná výše</w:t>
      </w:r>
      <w:r w:rsidRPr="004A450D">
        <w:rPr>
          <w:rFonts w:cs="Arial"/>
        </w:rPr>
        <w:t xml:space="preserve"> (samostatně vypláceného) </w:t>
      </w:r>
      <w:r w:rsidRPr="004A450D">
        <w:rPr>
          <w:rFonts w:cs="Arial"/>
          <w:b/>
        </w:rPr>
        <w:t>starobního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  <w:bCs/>
        </w:rPr>
        <w:t xml:space="preserve">důchodu se </w:t>
      </w:r>
      <w:r w:rsidRPr="004A450D">
        <w:rPr>
          <w:rFonts w:cs="Arial"/>
          <w:bCs/>
        </w:rPr>
        <w:t>v 1. pololetí 201</w:t>
      </w:r>
      <w:r>
        <w:rPr>
          <w:rFonts w:cs="Arial"/>
          <w:bCs/>
        </w:rPr>
        <w:t>5</w:t>
      </w:r>
      <w:r w:rsidRPr="004A450D">
        <w:rPr>
          <w:rFonts w:cs="Arial"/>
          <w:bCs/>
        </w:rPr>
        <w:t xml:space="preserve"> meziročně</w:t>
      </w:r>
      <w:r w:rsidRPr="004A450D">
        <w:rPr>
          <w:rFonts w:cs="Arial"/>
          <w:b/>
          <w:bCs/>
        </w:rPr>
        <w:t xml:space="preserve"> zvýšila </w:t>
      </w:r>
      <w:r w:rsidRPr="004A450D">
        <w:rPr>
          <w:rFonts w:cs="Arial"/>
        </w:rPr>
        <w:t>o </w:t>
      </w:r>
      <w:r>
        <w:rPr>
          <w:rFonts w:cs="Arial"/>
        </w:rPr>
        <w:t>263</w:t>
      </w:r>
      <w:r w:rsidRPr="004A450D">
        <w:rPr>
          <w:rFonts w:cs="Arial"/>
        </w:rPr>
        <w:t xml:space="preserve"> Kč (</w:t>
      </w:r>
      <w:r w:rsidRPr="004A450D">
        <w:rPr>
          <w:rFonts w:cs="Arial"/>
          <w:b/>
          <w:bCs/>
        </w:rPr>
        <w:t xml:space="preserve">o </w:t>
      </w:r>
      <w:r>
        <w:rPr>
          <w:rFonts w:cs="Arial"/>
          <w:b/>
          <w:bCs/>
        </w:rPr>
        <w:t>2</w:t>
      </w:r>
      <w:r w:rsidRPr="004A450D">
        <w:rPr>
          <w:rFonts w:cs="Arial"/>
          <w:b/>
          <w:bCs/>
        </w:rPr>
        <w:t>,</w:t>
      </w:r>
      <w:r>
        <w:rPr>
          <w:rFonts w:cs="Arial"/>
          <w:b/>
          <w:bCs/>
        </w:rPr>
        <w:t>4</w:t>
      </w:r>
      <w:r w:rsidRPr="004A450D">
        <w:rPr>
          <w:rFonts w:cs="Arial"/>
          <w:b/>
          <w:bCs/>
        </w:rPr>
        <w:t xml:space="preserve"> %</w:t>
      </w:r>
      <w:r w:rsidRPr="004A450D">
        <w:rPr>
          <w:rFonts w:cs="Arial"/>
        </w:rPr>
        <w:t xml:space="preserve">) </w:t>
      </w:r>
      <w:r w:rsidRPr="004A450D">
        <w:rPr>
          <w:rFonts w:cs="Arial"/>
          <w:b/>
          <w:bCs/>
        </w:rPr>
        <w:t>na 11 </w:t>
      </w:r>
      <w:r>
        <w:rPr>
          <w:rFonts w:cs="Arial"/>
          <w:b/>
          <w:bCs/>
        </w:rPr>
        <w:t>312</w:t>
      </w:r>
      <w:r w:rsidRPr="004A450D">
        <w:rPr>
          <w:rFonts w:cs="Arial"/>
          <w:b/>
          <w:bCs/>
        </w:rPr>
        <w:t xml:space="preserve"> Kč</w:t>
      </w:r>
      <w:r w:rsidR="00B54F88">
        <w:rPr>
          <w:rFonts w:cs="Arial"/>
          <w:b/>
          <w:bCs/>
        </w:rPr>
        <w:t>,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  <w:bCs/>
        </w:rPr>
        <w:t>v reálném vyjádření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</w:rPr>
        <w:t>se</w:t>
      </w:r>
      <w:r w:rsidRPr="004A450D">
        <w:rPr>
          <w:rFonts w:cs="Arial"/>
        </w:rPr>
        <w:t xml:space="preserve"> zvýšila </w:t>
      </w:r>
      <w:r w:rsidRPr="004A450D">
        <w:rPr>
          <w:rFonts w:cs="Arial"/>
          <w:b/>
        </w:rPr>
        <w:t>o </w:t>
      </w:r>
      <w:r>
        <w:rPr>
          <w:rFonts w:cs="Arial"/>
          <w:b/>
        </w:rPr>
        <w:t>2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3</w:t>
      </w:r>
      <w:r w:rsidRPr="004A450D">
        <w:rPr>
          <w:rFonts w:cs="Arial"/>
          <w:b/>
        </w:rPr>
        <w:t> %</w:t>
      </w:r>
      <w:r w:rsidRPr="004A450D">
        <w:rPr>
          <w:rFonts w:cs="Arial"/>
        </w:rPr>
        <w:t xml:space="preserve"> (</w:t>
      </w:r>
      <w:r w:rsidRPr="00FF5A2B">
        <w:rPr>
          <w:rFonts w:cs="Arial"/>
        </w:rPr>
        <w:t>při použití indexu životních nákladů domácností důchodců, který činil 100,1 %).</w:t>
      </w:r>
    </w:p>
    <w:p w:rsidR="000443AA" w:rsidRDefault="000443AA" w:rsidP="00120714">
      <w:pPr>
        <w:autoSpaceDE w:val="0"/>
        <w:autoSpaceDN w:val="0"/>
        <w:adjustRightInd w:val="0"/>
        <w:jc w:val="both"/>
        <w:rPr>
          <w:rFonts w:cs="Arial"/>
        </w:rPr>
      </w:pPr>
    </w:p>
    <w:p w:rsidR="00120714" w:rsidRDefault="00120714" w:rsidP="00120714">
      <w:pPr>
        <w:autoSpaceDE w:val="0"/>
        <w:autoSpaceDN w:val="0"/>
        <w:adjustRightInd w:val="0"/>
        <w:jc w:val="both"/>
        <w:rPr>
          <w:rFonts w:cs="Arial"/>
        </w:rPr>
      </w:pPr>
    </w:p>
    <w:p w:rsidR="000443AA" w:rsidRDefault="000443AA" w:rsidP="000443AA">
      <w:pPr>
        <w:spacing w:after="240"/>
        <w:ind w:left="708"/>
        <w:jc w:val="both"/>
        <w:rPr>
          <w:rFonts w:cs="Arial"/>
          <w:b/>
        </w:rPr>
      </w:pPr>
      <w:r w:rsidRPr="004A450D">
        <w:rPr>
          <w:rFonts w:cs="Arial"/>
          <w:b/>
        </w:rPr>
        <w:t>V červnu 201</w:t>
      </w:r>
      <w:r w:rsidR="005250D0">
        <w:rPr>
          <w:rFonts w:cs="Arial"/>
          <w:b/>
        </w:rPr>
        <w:t>5</w:t>
      </w:r>
    </w:p>
    <w:p w:rsidR="000443AA" w:rsidRPr="00F64C07" w:rsidRDefault="000443AA" w:rsidP="00B54F88">
      <w:pPr>
        <w:pStyle w:val="Odstavecseseznamem"/>
        <w:numPr>
          <w:ilvl w:val="0"/>
          <w:numId w:val="12"/>
        </w:numPr>
        <w:spacing w:after="240" w:line="276" w:lineRule="auto"/>
        <w:jc w:val="both"/>
        <w:rPr>
          <w:rFonts w:cs="Arial"/>
        </w:rPr>
      </w:pPr>
      <w:r w:rsidRPr="00ED0446">
        <w:rPr>
          <w:rFonts w:cs="Arial"/>
        </w:rPr>
        <w:t xml:space="preserve">pobíralo důchod </w:t>
      </w:r>
      <w:r w:rsidRPr="00ED0446">
        <w:rPr>
          <w:rFonts w:cs="Arial"/>
          <w:b/>
        </w:rPr>
        <w:t>2 86</w:t>
      </w:r>
      <w:r>
        <w:rPr>
          <w:rFonts w:cs="Arial"/>
          <w:b/>
        </w:rPr>
        <w:t>5</w:t>
      </w:r>
      <w:r w:rsidRPr="00ED0446">
        <w:rPr>
          <w:rFonts w:cs="Arial"/>
          <w:b/>
        </w:rPr>
        <w:t>,</w:t>
      </w:r>
      <w:r>
        <w:rPr>
          <w:rFonts w:cs="Arial"/>
          <w:b/>
        </w:rPr>
        <w:t>6</w:t>
      </w:r>
      <w:r w:rsidRPr="00ED0446">
        <w:rPr>
          <w:rFonts w:cs="Arial"/>
          <w:b/>
        </w:rPr>
        <w:t xml:space="preserve"> tis. osob, </w:t>
      </w:r>
      <w:r w:rsidRPr="00ED0446">
        <w:rPr>
          <w:rFonts w:cs="Arial"/>
        </w:rPr>
        <w:t>přičemž</w:t>
      </w:r>
      <w:r w:rsidRPr="00ED0446">
        <w:rPr>
          <w:rFonts w:cs="Arial"/>
          <w:b/>
        </w:rPr>
        <w:t xml:space="preserve"> jejich počet</w:t>
      </w:r>
      <w:r w:rsidRPr="00ED0446">
        <w:rPr>
          <w:rFonts w:cs="Arial"/>
        </w:rPr>
        <w:t xml:space="preserve"> se meziročně </w:t>
      </w:r>
      <w:r>
        <w:rPr>
          <w:rFonts w:cs="Arial"/>
        </w:rPr>
        <w:t xml:space="preserve">nepatrně </w:t>
      </w:r>
      <w:r>
        <w:rPr>
          <w:rFonts w:cs="Arial"/>
          <w:b/>
        </w:rPr>
        <w:t>snížil</w:t>
      </w:r>
      <w:r w:rsidRPr="00ED0446">
        <w:rPr>
          <w:rFonts w:cs="Arial"/>
        </w:rPr>
        <w:t xml:space="preserve"> o </w:t>
      </w:r>
      <w:r>
        <w:rPr>
          <w:rFonts w:cs="Arial"/>
        </w:rPr>
        <w:t>0</w:t>
      </w:r>
      <w:r w:rsidRPr="00ED0446">
        <w:rPr>
          <w:rFonts w:cs="Arial"/>
        </w:rPr>
        <w:t>,</w:t>
      </w:r>
      <w:r>
        <w:rPr>
          <w:rFonts w:cs="Arial"/>
        </w:rPr>
        <w:t>6</w:t>
      </w:r>
      <w:r w:rsidRPr="00ED0446">
        <w:rPr>
          <w:rFonts w:cs="Arial"/>
        </w:rPr>
        <w:t xml:space="preserve"> tis.</w:t>
      </w:r>
      <w:r>
        <w:rPr>
          <w:rFonts w:cs="Arial"/>
        </w:rPr>
        <w:t xml:space="preserve"> </w:t>
      </w:r>
      <w:r w:rsidRPr="00ED0446">
        <w:rPr>
          <w:rFonts w:cs="Arial"/>
        </w:rPr>
        <w:t>Snížil se počet příjemců invalidních důchodů o 5,</w:t>
      </w:r>
      <w:r>
        <w:rPr>
          <w:rFonts w:cs="Arial"/>
        </w:rPr>
        <w:t>2</w:t>
      </w:r>
      <w:r w:rsidRPr="00ED0446">
        <w:rPr>
          <w:rFonts w:cs="Arial"/>
        </w:rPr>
        <w:t xml:space="preserve"> tis. (o 1,</w:t>
      </w:r>
      <w:r>
        <w:rPr>
          <w:rFonts w:cs="Arial"/>
        </w:rPr>
        <w:t>2</w:t>
      </w:r>
      <w:r w:rsidR="00B54F88">
        <w:rPr>
          <w:rFonts w:cs="Arial"/>
        </w:rPr>
        <w:t> </w:t>
      </w:r>
      <w:r w:rsidRPr="00ED0446">
        <w:rPr>
          <w:rFonts w:cs="Arial"/>
        </w:rPr>
        <w:t xml:space="preserve">%), vdovských a vdoveckých o </w:t>
      </w:r>
      <w:r>
        <w:rPr>
          <w:rFonts w:cs="Arial"/>
        </w:rPr>
        <w:t>2</w:t>
      </w:r>
      <w:r w:rsidRPr="00ED0446">
        <w:rPr>
          <w:rFonts w:cs="Arial"/>
        </w:rPr>
        <w:t>,</w:t>
      </w:r>
      <w:r>
        <w:rPr>
          <w:rFonts w:cs="Arial"/>
        </w:rPr>
        <w:t>3</w:t>
      </w:r>
      <w:r w:rsidRPr="00ED0446">
        <w:rPr>
          <w:rFonts w:cs="Arial"/>
        </w:rPr>
        <w:t xml:space="preserve"> tis. (o </w:t>
      </w:r>
      <w:r>
        <w:rPr>
          <w:rFonts w:cs="Arial"/>
        </w:rPr>
        <w:t>6</w:t>
      </w:r>
      <w:r w:rsidRPr="00ED0446">
        <w:rPr>
          <w:rFonts w:cs="Arial"/>
        </w:rPr>
        <w:t>,</w:t>
      </w:r>
      <w:r>
        <w:rPr>
          <w:rFonts w:cs="Arial"/>
        </w:rPr>
        <w:t>0</w:t>
      </w:r>
      <w:r w:rsidRPr="00ED0446">
        <w:rPr>
          <w:rFonts w:cs="Arial"/>
        </w:rPr>
        <w:t> %) a</w:t>
      </w:r>
      <w:r w:rsidR="00B54F88">
        <w:rPr>
          <w:rFonts w:cs="Arial"/>
        </w:rPr>
        <w:t xml:space="preserve"> </w:t>
      </w:r>
      <w:r w:rsidRPr="00ED0446">
        <w:rPr>
          <w:rFonts w:cs="Arial"/>
        </w:rPr>
        <w:t>sirotčích o 1,</w:t>
      </w:r>
      <w:r>
        <w:rPr>
          <w:rFonts w:cs="Arial"/>
        </w:rPr>
        <w:t>6</w:t>
      </w:r>
      <w:r w:rsidRPr="00ED0446">
        <w:rPr>
          <w:rFonts w:cs="Arial"/>
        </w:rPr>
        <w:t> tis. (o </w:t>
      </w:r>
      <w:r>
        <w:rPr>
          <w:rFonts w:cs="Arial"/>
        </w:rPr>
        <w:t>3</w:t>
      </w:r>
      <w:r w:rsidRPr="00ED0446">
        <w:rPr>
          <w:rFonts w:cs="Arial"/>
        </w:rPr>
        <w:t>,</w:t>
      </w:r>
      <w:r>
        <w:rPr>
          <w:rFonts w:cs="Arial"/>
        </w:rPr>
        <w:t>4</w:t>
      </w:r>
      <w:r w:rsidRPr="00ED0446">
        <w:rPr>
          <w:rFonts w:cs="Arial"/>
        </w:rPr>
        <w:t xml:space="preserve"> %). </w:t>
      </w:r>
      <w:r w:rsidRPr="00ED0446">
        <w:rPr>
          <w:rFonts w:cs="Arial"/>
          <w:b/>
        </w:rPr>
        <w:t>Počet</w:t>
      </w:r>
      <w:r w:rsidRPr="00ED0446">
        <w:rPr>
          <w:rFonts w:cs="Arial"/>
        </w:rPr>
        <w:t xml:space="preserve"> </w:t>
      </w:r>
      <w:r w:rsidRPr="00ED0446">
        <w:rPr>
          <w:rFonts w:cs="Arial"/>
          <w:b/>
        </w:rPr>
        <w:t>důchodců se</w:t>
      </w:r>
      <w:r w:rsidR="00B54F88">
        <w:rPr>
          <w:rFonts w:cs="Arial"/>
          <w:b/>
        </w:rPr>
        <w:t xml:space="preserve"> </w:t>
      </w:r>
      <w:r w:rsidRPr="00ED0446">
        <w:rPr>
          <w:rFonts w:cs="Arial"/>
          <w:b/>
        </w:rPr>
        <w:t xml:space="preserve">starobním důchodem </w:t>
      </w:r>
      <w:r w:rsidRPr="00ED0446">
        <w:rPr>
          <w:rFonts w:cs="Arial"/>
        </w:rPr>
        <w:t>(včetně poměrného starobního) vzrostl o </w:t>
      </w:r>
      <w:r>
        <w:rPr>
          <w:rFonts w:cs="Arial"/>
        </w:rPr>
        <w:t>8,4</w:t>
      </w:r>
      <w:r w:rsidRPr="00ED0446">
        <w:rPr>
          <w:rFonts w:cs="Arial"/>
        </w:rPr>
        <w:t xml:space="preserve"> tis., (tj. </w:t>
      </w:r>
      <w:r w:rsidRPr="00ED0446">
        <w:rPr>
          <w:rFonts w:cs="Arial"/>
          <w:b/>
        </w:rPr>
        <w:t xml:space="preserve">o </w:t>
      </w:r>
      <w:r>
        <w:rPr>
          <w:rFonts w:cs="Arial"/>
          <w:b/>
        </w:rPr>
        <w:t>0</w:t>
      </w:r>
      <w:r w:rsidRPr="00ED0446">
        <w:rPr>
          <w:rFonts w:cs="Arial"/>
          <w:b/>
        </w:rPr>
        <w:t>,</w:t>
      </w:r>
      <w:r>
        <w:rPr>
          <w:rFonts w:cs="Arial"/>
          <w:b/>
        </w:rPr>
        <w:t>4</w:t>
      </w:r>
      <w:r w:rsidR="00B54F88">
        <w:rPr>
          <w:rFonts w:cs="Arial"/>
          <w:b/>
        </w:rPr>
        <w:t> </w:t>
      </w:r>
      <w:r w:rsidRPr="00ED0446">
        <w:rPr>
          <w:rFonts w:cs="Arial"/>
          <w:b/>
        </w:rPr>
        <w:t>%</w:t>
      </w:r>
      <w:r w:rsidRPr="00ED0446">
        <w:rPr>
          <w:rFonts w:cs="Arial"/>
        </w:rPr>
        <w:t xml:space="preserve">) </w:t>
      </w:r>
      <w:r w:rsidRPr="00ED0446">
        <w:rPr>
          <w:rFonts w:cs="Arial"/>
          <w:b/>
        </w:rPr>
        <w:t>na 2 3</w:t>
      </w:r>
      <w:r>
        <w:rPr>
          <w:rFonts w:cs="Arial"/>
          <w:b/>
        </w:rPr>
        <w:t>62</w:t>
      </w:r>
      <w:r w:rsidRPr="00ED0446">
        <w:rPr>
          <w:rFonts w:cs="Arial"/>
          <w:b/>
        </w:rPr>
        <w:t>,</w:t>
      </w:r>
      <w:r w:rsidR="00952E14">
        <w:rPr>
          <w:rFonts w:cs="Arial"/>
          <w:b/>
        </w:rPr>
        <w:t>2</w:t>
      </w:r>
      <w:r w:rsidRPr="00ED0446">
        <w:rPr>
          <w:rFonts w:cs="Arial"/>
          <w:b/>
        </w:rPr>
        <w:t xml:space="preserve"> tis. osob</w:t>
      </w:r>
      <w:r>
        <w:rPr>
          <w:rFonts w:cs="Arial"/>
          <w:b/>
        </w:rPr>
        <w:t>,</w:t>
      </w:r>
      <w:r w:rsidRPr="00ED0446">
        <w:rPr>
          <w:rFonts w:cs="Arial"/>
        </w:rPr>
        <w:t xml:space="preserve"> v  rámci této skupiny důchodců však</w:t>
      </w:r>
      <w:r w:rsidR="00B54F88">
        <w:rPr>
          <w:rFonts w:cs="Arial"/>
        </w:rPr>
        <w:t> </w:t>
      </w:r>
      <w:r w:rsidRPr="00ED0446">
        <w:rPr>
          <w:rFonts w:cs="Arial"/>
        </w:rPr>
        <w:t xml:space="preserve">narostl počet důchodců </w:t>
      </w:r>
      <w:r w:rsidRPr="00ED0446">
        <w:rPr>
          <w:rFonts w:cs="Arial"/>
          <w:b/>
        </w:rPr>
        <w:t xml:space="preserve">s trvale kráceným předčasným důchodem </w:t>
      </w:r>
      <w:r w:rsidRPr="00ED0446">
        <w:rPr>
          <w:rFonts w:cs="Arial"/>
        </w:rPr>
        <w:t>na</w:t>
      </w:r>
      <w:r w:rsidR="00B54F88">
        <w:rPr>
          <w:rFonts w:cs="Arial"/>
        </w:rPr>
        <w:t> </w:t>
      </w:r>
      <w:r w:rsidRPr="00ED0446">
        <w:rPr>
          <w:rFonts w:cs="Arial"/>
          <w:b/>
        </w:rPr>
        <w:t>5</w:t>
      </w:r>
      <w:r>
        <w:rPr>
          <w:rFonts w:cs="Arial"/>
          <w:b/>
        </w:rPr>
        <w:t>73</w:t>
      </w:r>
      <w:r w:rsidRPr="00ED0446">
        <w:rPr>
          <w:rFonts w:cs="Arial"/>
          <w:b/>
        </w:rPr>
        <w:t>,</w:t>
      </w:r>
      <w:r>
        <w:rPr>
          <w:rFonts w:cs="Arial"/>
          <w:b/>
        </w:rPr>
        <w:t>6</w:t>
      </w:r>
      <w:r w:rsidR="00B54F88">
        <w:rPr>
          <w:rFonts w:cs="Arial"/>
          <w:b/>
        </w:rPr>
        <w:t> </w:t>
      </w:r>
      <w:r w:rsidRPr="00ED0446">
        <w:rPr>
          <w:rFonts w:cs="Arial"/>
          <w:b/>
        </w:rPr>
        <w:t>tis.</w:t>
      </w:r>
      <w:r w:rsidRPr="00ED0446">
        <w:rPr>
          <w:rFonts w:cs="Arial"/>
        </w:rPr>
        <w:t xml:space="preserve"> (o 21,</w:t>
      </w:r>
      <w:r>
        <w:rPr>
          <w:rFonts w:cs="Arial"/>
        </w:rPr>
        <w:t>9</w:t>
      </w:r>
      <w:r w:rsidRPr="00ED0446">
        <w:rPr>
          <w:rFonts w:cs="Arial"/>
        </w:rPr>
        <w:t xml:space="preserve"> tis., tj. </w:t>
      </w:r>
      <w:r w:rsidRPr="00ED0446">
        <w:rPr>
          <w:rFonts w:cs="Arial"/>
          <w:b/>
        </w:rPr>
        <w:t>o 4,</w:t>
      </w:r>
      <w:r>
        <w:rPr>
          <w:rFonts w:cs="Arial"/>
          <w:b/>
        </w:rPr>
        <w:t>0</w:t>
      </w:r>
      <w:r w:rsidRPr="00ED0446">
        <w:rPr>
          <w:rFonts w:cs="Arial"/>
          <w:b/>
        </w:rPr>
        <w:t> </w:t>
      </w:r>
      <w:r w:rsidRPr="00F64C07">
        <w:rPr>
          <w:rFonts w:cs="Arial"/>
          <w:b/>
        </w:rPr>
        <w:t>%</w:t>
      </w:r>
      <w:r w:rsidRPr="00F64C07">
        <w:rPr>
          <w:rFonts w:cs="Arial"/>
        </w:rPr>
        <w:t>),</w:t>
      </w:r>
    </w:p>
    <w:p w:rsidR="000443AA" w:rsidRPr="00ED0446" w:rsidRDefault="000443AA" w:rsidP="00B54F88">
      <w:pPr>
        <w:pStyle w:val="Odstavecseseznamem"/>
        <w:numPr>
          <w:ilvl w:val="0"/>
          <w:numId w:val="12"/>
        </w:numPr>
        <w:spacing w:after="240" w:line="276" w:lineRule="auto"/>
        <w:jc w:val="both"/>
        <w:rPr>
          <w:rFonts w:cs="Arial"/>
        </w:rPr>
      </w:pPr>
      <w:r w:rsidRPr="00ED0446">
        <w:rPr>
          <w:rFonts w:cs="Arial"/>
          <w:b/>
        </w:rPr>
        <w:lastRenderedPageBreak/>
        <w:t xml:space="preserve">průměrný </w:t>
      </w:r>
      <w:r w:rsidRPr="00ED0446">
        <w:rPr>
          <w:rFonts w:cs="Arial"/>
        </w:rPr>
        <w:t xml:space="preserve">nominální </w:t>
      </w:r>
      <w:r w:rsidRPr="00ED0446">
        <w:rPr>
          <w:rFonts w:cs="Arial"/>
          <w:b/>
        </w:rPr>
        <w:t xml:space="preserve">starobní důchod </w:t>
      </w:r>
      <w:r w:rsidRPr="00ED0446">
        <w:rPr>
          <w:rFonts w:cs="Arial"/>
        </w:rPr>
        <w:t xml:space="preserve">(vyplácený samostatně) </w:t>
      </w:r>
      <w:r w:rsidRPr="00ED0446">
        <w:rPr>
          <w:rFonts w:cs="Arial"/>
          <w:b/>
        </w:rPr>
        <w:t>dosáhl 11</w:t>
      </w:r>
      <w:r w:rsidR="00B54F88">
        <w:rPr>
          <w:rFonts w:cs="Arial"/>
          <w:b/>
        </w:rPr>
        <w:t> </w:t>
      </w:r>
      <w:r>
        <w:rPr>
          <w:rFonts w:cs="Arial"/>
          <w:b/>
        </w:rPr>
        <w:t>331</w:t>
      </w:r>
      <w:r w:rsidR="00B54F88">
        <w:rPr>
          <w:rFonts w:cs="Arial"/>
          <w:b/>
        </w:rPr>
        <w:t> </w:t>
      </w:r>
      <w:r w:rsidRPr="00ED0446">
        <w:rPr>
          <w:rFonts w:cs="Arial"/>
          <w:b/>
        </w:rPr>
        <w:t xml:space="preserve">Kč </w:t>
      </w:r>
      <w:r w:rsidRPr="00ED0446">
        <w:rPr>
          <w:rFonts w:cs="Arial"/>
        </w:rPr>
        <w:t>a</w:t>
      </w:r>
      <w:r w:rsidRPr="00ED0446">
        <w:rPr>
          <w:rFonts w:cs="Arial"/>
          <w:b/>
        </w:rPr>
        <w:t xml:space="preserve"> převýšil</w:t>
      </w:r>
      <w:r w:rsidRPr="00ED0446">
        <w:rPr>
          <w:rFonts w:cs="Arial"/>
        </w:rPr>
        <w:t xml:space="preserve"> o </w:t>
      </w:r>
      <w:r>
        <w:rPr>
          <w:rFonts w:cs="Arial"/>
        </w:rPr>
        <w:t>266</w:t>
      </w:r>
      <w:r w:rsidRPr="00ED0446">
        <w:rPr>
          <w:rFonts w:cs="Arial"/>
        </w:rPr>
        <w:t xml:space="preserve"> Kč (tj. </w:t>
      </w:r>
      <w:r w:rsidRPr="00ED0446">
        <w:rPr>
          <w:rFonts w:cs="Arial"/>
          <w:b/>
        </w:rPr>
        <w:t xml:space="preserve">o </w:t>
      </w:r>
      <w:r>
        <w:rPr>
          <w:rFonts w:cs="Arial"/>
          <w:b/>
        </w:rPr>
        <w:t>2,4</w:t>
      </w:r>
      <w:r w:rsidR="00B54F88">
        <w:rPr>
          <w:rFonts w:cs="Arial"/>
          <w:b/>
        </w:rPr>
        <w:t> </w:t>
      </w:r>
      <w:r w:rsidRPr="00ED0446">
        <w:rPr>
          <w:rFonts w:cs="Arial"/>
          <w:b/>
        </w:rPr>
        <w:t>%</w:t>
      </w:r>
      <w:r w:rsidRPr="00ED0446">
        <w:rPr>
          <w:rFonts w:cs="Arial"/>
        </w:rPr>
        <w:t>) skutečnost stejného měsíce roku 201</w:t>
      </w:r>
      <w:r>
        <w:rPr>
          <w:rFonts w:cs="Arial"/>
        </w:rPr>
        <w:t>4</w:t>
      </w:r>
      <w:r w:rsidRPr="00ED0446">
        <w:rPr>
          <w:rFonts w:cs="Arial"/>
        </w:rPr>
        <w:t xml:space="preserve"> (viz.</w:t>
      </w:r>
      <w:r w:rsidR="007A7181">
        <w:rPr>
          <w:rFonts w:cs="Arial"/>
        </w:rPr>
        <w:t> </w:t>
      </w:r>
      <w:r w:rsidRPr="00ED0446">
        <w:rPr>
          <w:rFonts w:cs="Arial"/>
        </w:rPr>
        <w:t>tabulku č.</w:t>
      </w:r>
      <w:r w:rsidR="00B54F88">
        <w:rPr>
          <w:rFonts w:cs="Arial"/>
        </w:rPr>
        <w:t> </w:t>
      </w:r>
      <w:r w:rsidRPr="00ED0446">
        <w:rPr>
          <w:rFonts w:cs="Arial"/>
        </w:rPr>
        <w:t xml:space="preserve">10). U </w:t>
      </w:r>
      <w:r w:rsidRPr="00ED0446">
        <w:rPr>
          <w:rFonts w:cs="Arial"/>
          <w:b/>
        </w:rPr>
        <w:t>žen</w:t>
      </w:r>
      <w:r w:rsidRPr="00ED0446">
        <w:rPr>
          <w:rFonts w:cs="Arial"/>
        </w:rPr>
        <w:t xml:space="preserve"> činil 10</w:t>
      </w:r>
      <w:r w:rsidR="00B54F88">
        <w:rPr>
          <w:rFonts w:cs="Arial"/>
        </w:rPr>
        <w:t> </w:t>
      </w:r>
      <w:r>
        <w:rPr>
          <w:rFonts w:cs="Arial"/>
        </w:rPr>
        <w:t>282</w:t>
      </w:r>
      <w:r w:rsidR="00B54F88">
        <w:rPr>
          <w:rFonts w:cs="Arial"/>
        </w:rPr>
        <w:t> </w:t>
      </w:r>
      <w:r w:rsidRPr="00ED0446">
        <w:rPr>
          <w:rFonts w:cs="Arial"/>
        </w:rPr>
        <w:t xml:space="preserve">Kč, čímž představoval </w:t>
      </w:r>
      <w:r w:rsidRPr="00ED0446">
        <w:rPr>
          <w:rFonts w:cs="Arial"/>
          <w:b/>
        </w:rPr>
        <w:t>82,0 %</w:t>
      </w:r>
      <w:r w:rsidRPr="00ED0446">
        <w:rPr>
          <w:rFonts w:cs="Arial"/>
        </w:rPr>
        <w:t xml:space="preserve"> </w:t>
      </w:r>
      <w:r w:rsidRPr="00ED0446">
        <w:rPr>
          <w:rFonts w:cs="Arial"/>
          <w:b/>
        </w:rPr>
        <w:t>průměrného důchodu mužů</w:t>
      </w:r>
      <w:r w:rsidRPr="00ED0446">
        <w:rPr>
          <w:rFonts w:cs="Arial"/>
        </w:rPr>
        <w:t xml:space="preserve"> (12 </w:t>
      </w:r>
      <w:r>
        <w:rPr>
          <w:rFonts w:cs="Arial"/>
        </w:rPr>
        <w:t>537</w:t>
      </w:r>
      <w:r w:rsidRPr="00ED0446">
        <w:rPr>
          <w:rFonts w:cs="Arial"/>
        </w:rPr>
        <w:t> Kč). Průměrná výše trvale kráceného předčasného důchodu byla oproti průměrnému starobnímu důchodu o 1 </w:t>
      </w:r>
      <w:r>
        <w:rPr>
          <w:rFonts w:cs="Arial"/>
        </w:rPr>
        <w:t>232</w:t>
      </w:r>
      <w:r w:rsidRPr="00ED0446">
        <w:rPr>
          <w:rFonts w:cs="Arial"/>
        </w:rPr>
        <w:t xml:space="preserve"> Kč nižší a dosáhla </w:t>
      </w:r>
      <w:r>
        <w:rPr>
          <w:rFonts w:cs="Arial"/>
        </w:rPr>
        <w:t>10</w:t>
      </w:r>
      <w:r w:rsidR="00B54F88">
        <w:rPr>
          <w:rFonts w:cs="Arial"/>
        </w:rPr>
        <w:t> </w:t>
      </w:r>
      <w:r>
        <w:rPr>
          <w:rFonts w:cs="Arial"/>
        </w:rPr>
        <w:t>099</w:t>
      </w:r>
      <w:r w:rsidR="00B54F88">
        <w:rPr>
          <w:rFonts w:cs="Arial"/>
        </w:rPr>
        <w:t> </w:t>
      </w:r>
      <w:r w:rsidRPr="00ED0446">
        <w:rPr>
          <w:rFonts w:cs="Arial"/>
        </w:rPr>
        <w:t xml:space="preserve">Kč (o </w:t>
      </w:r>
      <w:r>
        <w:rPr>
          <w:rFonts w:cs="Arial"/>
        </w:rPr>
        <w:t>229</w:t>
      </w:r>
      <w:r w:rsidR="00B54F88">
        <w:rPr>
          <w:rFonts w:cs="Arial"/>
        </w:rPr>
        <w:t> </w:t>
      </w:r>
      <w:r w:rsidRPr="00ED0446">
        <w:rPr>
          <w:rFonts w:cs="Arial"/>
        </w:rPr>
        <w:t>Kč více než ve</w:t>
      </w:r>
      <w:r>
        <w:rPr>
          <w:rFonts w:cs="Arial"/>
        </w:rPr>
        <w:t> </w:t>
      </w:r>
      <w:r w:rsidRPr="00ED0446">
        <w:rPr>
          <w:rFonts w:cs="Arial"/>
        </w:rPr>
        <w:t>srovnatelném období předchozího roku), z toho u mužů 1</w:t>
      </w:r>
      <w:r>
        <w:rPr>
          <w:rFonts w:cs="Arial"/>
        </w:rPr>
        <w:t>1</w:t>
      </w:r>
      <w:r w:rsidRPr="00ED0446">
        <w:rPr>
          <w:rFonts w:cs="Arial"/>
        </w:rPr>
        <w:t> </w:t>
      </w:r>
      <w:r>
        <w:rPr>
          <w:rFonts w:cs="Arial"/>
        </w:rPr>
        <w:t>240</w:t>
      </w:r>
      <w:r w:rsidRPr="00ED0446">
        <w:rPr>
          <w:rFonts w:cs="Arial"/>
        </w:rPr>
        <w:t xml:space="preserve"> Kč a u žen </w:t>
      </w:r>
      <w:r>
        <w:rPr>
          <w:rFonts w:cs="Arial"/>
        </w:rPr>
        <w:t>9</w:t>
      </w:r>
      <w:r w:rsidRPr="00ED0446">
        <w:rPr>
          <w:rFonts w:cs="Arial"/>
        </w:rPr>
        <w:t xml:space="preserve"> </w:t>
      </w:r>
      <w:r>
        <w:rPr>
          <w:rFonts w:cs="Arial"/>
        </w:rPr>
        <w:t>132</w:t>
      </w:r>
      <w:r w:rsidRPr="00ED0446">
        <w:rPr>
          <w:rFonts w:cs="Arial"/>
        </w:rPr>
        <w:t xml:space="preserve"> Kč,</w:t>
      </w:r>
    </w:p>
    <w:p w:rsidR="000443AA" w:rsidRPr="00175660" w:rsidRDefault="000443AA" w:rsidP="000443A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cs="Arial"/>
        </w:rPr>
      </w:pPr>
      <w:r w:rsidRPr="00175660">
        <w:rPr>
          <w:rFonts w:cs="Arial"/>
          <w:b/>
        </w:rPr>
        <w:t>pobíralo</w:t>
      </w:r>
      <w:r w:rsidRPr="00175660">
        <w:rPr>
          <w:rFonts w:cs="Arial"/>
        </w:rPr>
        <w:t xml:space="preserve"> samostatně vyplácený starobní důchod ve výši </w:t>
      </w:r>
      <w:r w:rsidRPr="00175660">
        <w:rPr>
          <w:rFonts w:cs="Arial"/>
          <w:b/>
        </w:rPr>
        <w:t>do 10 999 Kč měsíčně</w:t>
      </w:r>
      <w:r w:rsidR="00517AA3">
        <w:rPr>
          <w:rFonts w:cs="Arial"/>
          <w:b/>
        </w:rPr>
        <w:t> </w:t>
      </w:r>
      <w:r w:rsidRPr="00175660">
        <w:rPr>
          <w:rFonts w:cs="Arial"/>
          <w:b/>
        </w:rPr>
        <w:t>46,6</w:t>
      </w:r>
      <w:r w:rsidR="00B54F88">
        <w:rPr>
          <w:rFonts w:cs="Arial"/>
          <w:b/>
        </w:rPr>
        <w:t> </w:t>
      </w:r>
      <w:r w:rsidRPr="00175660">
        <w:rPr>
          <w:rFonts w:cs="Arial"/>
          <w:b/>
        </w:rPr>
        <w:t xml:space="preserve">% </w:t>
      </w:r>
      <w:r w:rsidRPr="00175660">
        <w:rPr>
          <w:rFonts w:cs="Arial"/>
        </w:rPr>
        <w:t>osob (o 4,6 p.</w:t>
      </w:r>
      <w:r w:rsidR="00B54F88">
        <w:rPr>
          <w:rFonts w:cs="Arial"/>
        </w:rPr>
        <w:t> </w:t>
      </w:r>
      <w:r w:rsidRPr="00175660">
        <w:rPr>
          <w:rFonts w:cs="Arial"/>
        </w:rPr>
        <w:t>b. méně než v červnu 2014), ve</w:t>
      </w:r>
      <w:r w:rsidR="00517AA3">
        <w:rPr>
          <w:rFonts w:cs="Arial"/>
        </w:rPr>
        <w:t xml:space="preserve"> </w:t>
      </w:r>
      <w:r w:rsidRPr="00175660">
        <w:rPr>
          <w:rFonts w:cs="Arial"/>
        </w:rPr>
        <w:t>výši</w:t>
      </w:r>
      <w:r w:rsidR="00517AA3">
        <w:rPr>
          <w:rFonts w:cs="Arial"/>
        </w:rPr>
        <w:t xml:space="preserve">         </w:t>
      </w:r>
      <w:r w:rsidRPr="00175660">
        <w:rPr>
          <w:rFonts w:cs="Arial"/>
          <w:b/>
        </w:rPr>
        <w:t>11 000 Kč </w:t>
      </w:r>
      <w:r w:rsidRPr="00175660">
        <w:rPr>
          <w:rFonts w:cs="Arial"/>
        </w:rPr>
        <w:t>– </w:t>
      </w:r>
      <w:r w:rsidRPr="00175660">
        <w:rPr>
          <w:rFonts w:cs="Arial"/>
          <w:b/>
        </w:rPr>
        <w:t>13 999 Kč</w:t>
      </w:r>
      <w:r w:rsidRPr="00175660">
        <w:rPr>
          <w:rFonts w:cs="Arial"/>
        </w:rPr>
        <w:t xml:space="preserve"> měsíčně </w:t>
      </w:r>
      <w:r w:rsidRPr="00175660">
        <w:rPr>
          <w:rFonts w:cs="Arial"/>
          <w:b/>
        </w:rPr>
        <w:t xml:space="preserve">40,8 % </w:t>
      </w:r>
      <w:r w:rsidRPr="00175660">
        <w:rPr>
          <w:rFonts w:cs="Arial"/>
        </w:rPr>
        <w:t>osob (</w:t>
      </w:r>
      <w:r w:rsidRPr="00175660">
        <w:rPr>
          <w:rFonts w:cs="Arial"/>
          <w:sz w:val="26"/>
        </w:rPr>
        <w:t>o 2,0 p. b. více)</w:t>
      </w:r>
      <w:r w:rsidRPr="00175660">
        <w:rPr>
          <w:rFonts w:cs="Arial"/>
          <w:b/>
        </w:rPr>
        <w:t xml:space="preserve">, </w:t>
      </w:r>
      <w:r w:rsidRPr="00175660">
        <w:rPr>
          <w:rFonts w:cs="Arial"/>
        </w:rPr>
        <w:t>důchod</w:t>
      </w:r>
      <w:r w:rsidRPr="00175660">
        <w:rPr>
          <w:rFonts w:cs="Arial"/>
          <w:b/>
        </w:rPr>
        <w:t xml:space="preserve"> ve výši 14 000 Kč </w:t>
      </w:r>
      <w:r w:rsidRPr="00517AA3">
        <w:rPr>
          <w:rFonts w:cs="Arial"/>
        </w:rPr>
        <w:t>–</w:t>
      </w:r>
      <w:r w:rsidRPr="00175660">
        <w:rPr>
          <w:rFonts w:cs="Arial"/>
          <w:b/>
        </w:rPr>
        <w:t xml:space="preserve"> 17</w:t>
      </w:r>
      <w:r w:rsidR="00517AA3">
        <w:rPr>
          <w:rFonts w:cs="Arial"/>
          <w:b/>
        </w:rPr>
        <w:t> </w:t>
      </w:r>
      <w:r w:rsidRPr="00175660">
        <w:rPr>
          <w:rFonts w:cs="Arial"/>
          <w:b/>
        </w:rPr>
        <w:t>999</w:t>
      </w:r>
      <w:r w:rsidR="00517AA3">
        <w:rPr>
          <w:rFonts w:cs="Arial"/>
          <w:b/>
        </w:rPr>
        <w:t> </w:t>
      </w:r>
      <w:r w:rsidRPr="00175660">
        <w:rPr>
          <w:rFonts w:cs="Arial"/>
          <w:b/>
        </w:rPr>
        <w:t xml:space="preserve">Kč </w:t>
      </w:r>
      <w:r w:rsidRPr="00175660">
        <w:rPr>
          <w:rFonts w:cs="Arial"/>
        </w:rPr>
        <w:t xml:space="preserve">mělo </w:t>
      </w:r>
      <w:r w:rsidRPr="00175660">
        <w:rPr>
          <w:rFonts w:cs="Arial"/>
          <w:b/>
        </w:rPr>
        <w:t>11</w:t>
      </w:r>
      <w:r>
        <w:rPr>
          <w:rFonts w:cs="Arial"/>
          <w:b/>
        </w:rPr>
        <w:t>,4</w:t>
      </w:r>
      <w:r w:rsidRPr="00175660">
        <w:rPr>
          <w:rFonts w:cs="Arial"/>
          <w:b/>
        </w:rPr>
        <w:t xml:space="preserve"> % </w:t>
      </w:r>
      <w:r w:rsidRPr="00175660">
        <w:rPr>
          <w:rFonts w:cs="Arial"/>
        </w:rPr>
        <w:t>důchodců (o 2,4 p. b. více), více než 18</w:t>
      </w:r>
      <w:r w:rsidR="00517AA3">
        <w:rPr>
          <w:rFonts w:cs="Arial"/>
        </w:rPr>
        <w:t> </w:t>
      </w:r>
      <w:r w:rsidRPr="00175660">
        <w:rPr>
          <w:rFonts w:cs="Arial"/>
        </w:rPr>
        <w:t>000</w:t>
      </w:r>
      <w:r w:rsidR="00517AA3">
        <w:rPr>
          <w:rFonts w:cs="Arial"/>
        </w:rPr>
        <w:t xml:space="preserve"> Kč </w:t>
      </w:r>
      <w:r w:rsidRPr="00175660">
        <w:rPr>
          <w:rFonts w:cs="Arial"/>
        </w:rPr>
        <w:t>pobíralo 1,2 % důchodců.</w:t>
      </w:r>
    </w:p>
    <w:p w:rsidR="00B54F88" w:rsidRDefault="00B54F88" w:rsidP="00B54F88">
      <w:pPr>
        <w:spacing w:line="276" w:lineRule="auto"/>
        <w:jc w:val="both"/>
        <w:rPr>
          <w:rFonts w:cs="Arial"/>
        </w:rPr>
      </w:pPr>
    </w:p>
    <w:p w:rsidR="00120714" w:rsidRPr="00175660" w:rsidRDefault="00120714" w:rsidP="00B54F88">
      <w:pPr>
        <w:spacing w:line="276" w:lineRule="auto"/>
        <w:jc w:val="both"/>
        <w:rPr>
          <w:rFonts w:cs="Arial"/>
        </w:rPr>
      </w:pPr>
    </w:p>
    <w:p w:rsidR="000443AA" w:rsidRDefault="000443AA" w:rsidP="00120714">
      <w:pPr>
        <w:spacing w:line="360" w:lineRule="auto"/>
        <w:jc w:val="both"/>
        <w:rPr>
          <w:rFonts w:cs="Arial"/>
        </w:rPr>
      </w:pPr>
      <w:r w:rsidRPr="009C244C">
        <w:rPr>
          <w:rFonts w:cs="Arial"/>
        </w:rPr>
        <w:tab/>
      </w:r>
      <w:r w:rsidRPr="004A450D">
        <w:rPr>
          <w:rFonts w:cs="Arial"/>
        </w:rPr>
        <w:t xml:space="preserve">Vývoj počtu důchodců v posledních </w:t>
      </w:r>
      <w:r>
        <w:rPr>
          <w:rFonts w:cs="Arial"/>
        </w:rPr>
        <w:t>osmi</w:t>
      </w:r>
      <w:r w:rsidRPr="004A450D">
        <w:rPr>
          <w:rFonts w:cs="Arial"/>
        </w:rPr>
        <w:t xml:space="preserve"> letech a podíl starobních důchodců na jejich počtu ukazuje následující graf:</w:t>
      </w:r>
    </w:p>
    <w:p w:rsidR="000443AA" w:rsidRDefault="000443AA" w:rsidP="000443AA">
      <w:pPr>
        <w:spacing w:line="276" w:lineRule="auto"/>
        <w:jc w:val="both"/>
        <w:rPr>
          <w:rFonts w:cs="Arial"/>
        </w:rPr>
      </w:pPr>
    </w:p>
    <w:p w:rsidR="000443AA" w:rsidRDefault="000443AA" w:rsidP="000443AA">
      <w:pPr>
        <w:spacing w:line="276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5759450" cy="3464307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64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3AA" w:rsidRDefault="000443AA" w:rsidP="00C91C50">
      <w:pPr>
        <w:jc w:val="center"/>
        <w:rPr>
          <w:rFonts w:cs="Arial"/>
        </w:rPr>
      </w:pPr>
    </w:p>
    <w:p w:rsidR="00517AA3" w:rsidRPr="004A450D" w:rsidRDefault="00517AA3" w:rsidP="00C91C50">
      <w:pPr>
        <w:jc w:val="center"/>
        <w:rPr>
          <w:rFonts w:cs="Arial"/>
        </w:rPr>
      </w:pPr>
    </w:p>
    <w:p w:rsidR="000443AA" w:rsidRDefault="000443AA" w:rsidP="000443AA">
      <w:pPr>
        <w:spacing w:line="360" w:lineRule="auto"/>
        <w:jc w:val="both"/>
        <w:rPr>
          <w:rFonts w:cs="Arial"/>
        </w:rPr>
      </w:pPr>
      <w:r>
        <w:tab/>
      </w:r>
      <w:r w:rsidRPr="004A450D">
        <w:rPr>
          <w:rFonts w:cs="Arial"/>
        </w:rPr>
        <w:t xml:space="preserve">Na </w:t>
      </w:r>
      <w:r w:rsidRPr="004A450D">
        <w:rPr>
          <w:rFonts w:cs="Arial"/>
          <w:b/>
          <w:bCs/>
          <w:u w:val="single"/>
        </w:rPr>
        <w:t>dávkách státní sociální podpory a pěstounské péče</w:t>
      </w:r>
      <w:r w:rsidRPr="004A450D">
        <w:rPr>
          <w:rFonts w:cs="Arial"/>
          <w:b/>
          <w:bCs/>
        </w:rPr>
        <w:t xml:space="preserve"> </w:t>
      </w:r>
      <w:r w:rsidRPr="004A450D">
        <w:rPr>
          <w:rFonts w:cs="Arial"/>
        </w:rPr>
        <w:t>bylo v 1. pololetí 201</w:t>
      </w:r>
      <w:r>
        <w:rPr>
          <w:rFonts w:cs="Arial"/>
        </w:rPr>
        <w:t>5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  <w:bCs/>
        </w:rPr>
        <w:t xml:space="preserve">vyplaceno 19,0 mld. Kč </w:t>
      </w:r>
      <w:r w:rsidRPr="004A450D">
        <w:rPr>
          <w:rFonts w:cs="Arial"/>
        </w:rPr>
        <w:t>a zůstaly tak s 8,</w:t>
      </w:r>
      <w:r>
        <w:rPr>
          <w:rFonts w:cs="Arial"/>
        </w:rPr>
        <w:t>0</w:t>
      </w:r>
      <w:r w:rsidRPr="004A450D">
        <w:rPr>
          <w:rFonts w:cs="Arial"/>
        </w:rPr>
        <w:t xml:space="preserve"> procentním podílem na celkových sociálních příjmech obyvatel nadále druhou nejvýznamnější složkou sociálních příjmů domácností. V hodnoceném období bylo touto formou vyplaceno meziročně </w:t>
      </w:r>
      <w:r w:rsidRPr="004A450D">
        <w:rPr>
          <w:rFonts w:cs="Arial"/>
          <w:b/>
        </w:rPr>
        <w:lastRenderedPageBreak/>
        <w:t>o </w:t>
      </w:r>
      <w:r>
        <w:rPr>
          <w:rFonts w:cs="Arial"/>
          <w:b/>
        </w:rPr>
        <w:t>0,2 %</w:t>
      </w:r>
      <w:r w:rsidRPr="004A450D">
        <w:rPr>
          <w:rFonts w:cs="Arial"/>
        </w:rPr>
        <w:t xml:space="preserve"> </w:t>
      </w:r>
      <w:r w:rsidRPr="00AD3AEF">
        <w:rPr>
          <w:rFonts w:cs="Arial"/>
          <w:b/>
        </w:rPr>
        <w:t>méně</w:t>
      </w:r>
      <w:r w:rsidRPr="004A450D">
        <w:rPr>
          <w:rFonts w:cs="Arial"/>
        </w:rPr>
        <w:t xml:space="preserve"> finančních prostředků než ve stejném období předchozího roku – viz</w:t>
      </w:r>
      <w:r w:rsidR="001F5BEA">
        <w:rPr>
          <w:rFonts w:cs="Arial"/>
        </w:rPr>
        <w:t> </w:t>
      </w:r>
      <w:r w:rsidRPr="004A450D">
        <w:rPr>
          <w:rFonts w:cs="Arial"/>
        </w:rPr>
        <w:t>tabulky č. 9 a 11 v příloze.</w:t>
      </w:r>
    </w:p>
    <w:p w:rsidR="00120714" w:rsidRPr="004A450D" w:rsidRDefault="00120714" w:rsidP="000443AA">
      <w:pPr>
        <w:spacing w:line="360" w:lineRule="auto"/>
        <w:jc w:val="both"/>
        <w:rPr>
          <w:rFonts w:cs="Arial"/>
        </w:rPr>
      </w:pPr>
    </w:p>
    <w:p w:rsidR="000443AA" w:rsidRPr="004A450D" w:rsidRDefault="000443AA" w:rsidP="000443A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450205" cy="3731260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3AA" w:rsidRDefault="000443AA" w:rsidP="000443AA">
      <w:pPr>
        <w:spacing w:line="360" w:lineRule="auto"/>
        <w:jc w:val="center"/>
        <w:rPr>
          <w:noProof/>
        </w:rPr>
      </w:pPr>
    </w:p>
    <w:p w:rsidR="000443AA" w:rsidRDefault="000443AA" w:rsidP="00C91C50">
      <w:pPr>
        <w:spacing w:after="240" w:line="360" w:lineRule="auto"/>
        <w:jc w:val="both"/>
        <w:rPr>
          <w:rFonts w:cs="Arial"/>
        </w:rPr>
      </w:pPr>
      <w:r w:rsidRPr="004A450D">
        <w:rPr>
          <w:rFonts w:cs="Arial"/>
        </w:rPr>
        <w:tab/>
        <w:t>Jak ukazuje výše uvedený graf, byl v 1. pololetí 201</w:t>
      </w:r>
      <w:r>
        <w:rPr>
          <w:rFonts w:cs="Arial"/>
        </w:rPr>
        <w:t>5</w:t>
      </w:r>
      <w:r w:rsidRPr="004A450D">
        <w:rPr>
          <w:rFonts w:cs="Arial"/>
        </w:rPr>
        <w:t xml:space="preserve"> rozhodující dávkou tohoto systému</w:t>
      </w:r>
      <w:r w:rsidRPr="004A450D">
        <w:rPr>
          <w:rFonts w:cs="Arial"/>
          <w:b/>
          <w:bCs/>
        </w:rPr>
        <w:t xml:space="preserve"> rodičovský příspěvek </w:t>
      </w:r>
      <w:r w:rsidRPr="004A450D">
        <w:rPr>
          <w:rFonts w:cs="Arial"/>
        </w:rPr>
        <w:t xml:space="preserve">(s podílem </w:t>
      </w:r>
      <w:r>
        <w:rPr>
          <w:rFonts w:cs="Arial"/>
        </w:rPr>
        <w:t>59</w:t>
      </w:r>
      <w:r w:rsidRPr="004A450D">
        <w:rPr>
          <w:rFonts w:cs="Arial"/>
        </w:rPr>
        <w:t>,</w:t>
      </w:r>
      <w:r>
        <w:rPr>
          <w:rFonts w:cs="Arial"/>
        </w:rPr>
        <w:t>4</w:t>
      </w:r>
      <w:r w:rsidR="00517AA3">
        <w:rPr>
          <w:rFonts w:cs="Arial"/>
        </w:rPr>
        <w:t> </w:t>
      </w:r>
      <w:r w:rsidRPr="004A450D">
        <w:rPr>
          <w:rFonts w:cs="Arial"/>
        </w:rPr>
        <w:t xml:space="preserve">% na celkovém objemu těchto dávek). </w:t>
      </w:r>
      <w:r w:rsidRPr="004A450D">
        <w:rPr>
          <w:rFonts w:cs="Arial"/>
          <w:b/>
        </w:rPr>
        <w:t xml:space="preserve">Výdaje </w:t>
      </w:r>
      <w:r w:rsidRPr="004A450D">
        <w:rPr>
          <w:rFonts w:cs="Arial"/>
        </w:rPr>
        <w:t xml:space="preserve">na něj </w:t>
      </w:r>
      <w:r w:rsidRPr="004A450D">
        <w:rPr>
          <w:rFonts w:cs="Arial"/>
          <w:b/>
          <w:bCs/>
        </w:rPr>
        <w:t>klesly</w:t>
      </w:r>
      <w:r w:rsidRPr="004A450D">
        <w:rPr>
          <w:rFonts w:cs="Arial"/>
          <w:bCs/>
        </w:rPr>
        <w:t xml:space="preserve"> proti 1.</w:t>
      </w:r>
      <w:r>
        <w:rPr>
          <w:rFonts w:cs="Arial"/>
          <w:bCs/>
        </w:rPr>
        <w:t> </w:t>
      </w:r>
      <w:r w:rsidRPr="004A450D">
        <w:rPr>
          <w:rFonts w:cs="Arial"/>
          <w:bCs/>
        </w:rPr>
        <w:t>pololetí 201</w:t>
      </w:r>
      <w:r>
        <w:rPr>
          <w:rFonts w:cs="Arial"/>
          <w:bCs/>
        </w:rPr>
        <w:t>4</w:t>
      </w:r>
      <w:r w:rsidRPr="004A450D">
        <w:rPr>
          <w:rFonts w:cs="Arial"/>
          <w:bCs/>
        </w:rPr>
        <w:t xml:space="preserve"> o 0,</w:t>
      </w:r>
      <w:r>
        <w:rPr>
          <w:rFonts w:cs="Arial"/>
          <w:bCs/>
        </w:rPr>
        <w:t>4</w:t>
      </w:r>
      <w:r w:rsidRPr="004A450D">
        <w:rPr>
          <w:rFonts w:cs="Arial"/>
          <w:bCs/>
        </w:rPr>
        <w:t xml:space="preserve"> mld. Kč (</w:t>
      </w:r>
      <w:r w:rsidRPr="004A450D">
        <w:rPr>
          <w:rFonts w:cs="Arial"/>
          <w:b/>
          <w:bCs/>
        </w:rPr>
        <w:t xml:space="preserve">o </w:t>
      </w:r>
      <w:r>
        <w:rPr>
          <w:rFonts w:cs="Arial"/>
          <w:b/>
          <w:bCs/>
        </w:rPr>
        <w:t>3</w:t>
      </w:r>
      <w:r w:rsidRPr="004A450D">
        <w:rPr>
          <w:rFonts w:cs="Arial"/>
          <w:b/>
          <w:bCs/>
        </w:rPr>
        <w:t>,</w:t>
      </w:r>
      <w:r>
        <w:rPr>
          <w:rFonts w:cs="Arial"/>
          <w:b/>
          <w:bCs/>
        </w:rPr>
        <w:t>8</w:t>
      </w:r>
      <w:r w:rsidR="00517AA3">
        <w:rPr>
          <w:rFonts w:cs="Arial"/>
          <w:b/>
          <w:bCs/>
        </w:rPr>
        <w:t> </w:t>
      </w:r>
      <w:r w:rsidRPr="004A450D">
        <w:rPr>
          <w:rFonts w:cs="Arial"/>
          <w:b/>
          <w:bCs/>
        </w:rPr>
        <w:t>%</w:t>
      </w:r>
      <w:r w:rsidRPr="004A450D">
        <w:rPr>
          <w:rFonts w:cs="Arial"/>
          <w:bCs/>
        </w:rPr>
        <w:t>)</w:t>
      </w:r>
      <w:r w:rsidRPr="004A450D">
        <w:rPr>
          <w:rFonts w:cs="Arial"/>
          <w:b/>
          <w:bCs/>
        </w:rPr>
        <w:t xml:space="preserve"> </w:t>
      </w:r>
      <w:r w:rsidRPr="004A450D">
        <w:rPr>
          <w:rFonts w:cs="Arial"/>
          <w:bCs/>
        </w:rPr>
        <w:t>na </w:t>
      </w:r>
      <w:r w:rsidRPr="004A450D">
        <w:rPr>
          <w:rFonts w:cs="Arial"/>
          <w:b/>
        </w:rPr>
        <w:t>11,</w:t>
      </w:r>
      <w:r>
        <w:rPr>
          <w:rFonts w:cs="Arial"/>
          <w:b/>
        </w:rPr>
        <w:t>3</w:t>
      </w:r>
      <w:r w:rsidRPr="004A450D">
        <w:rPr>
          <w:rFonts w:cs="Arial"/>
          <w:b/>
        </w:rPr>
        <w:t> </w:t>
      </w:r>
      <w:r w:rsidRPr="004A450D">
        <w:rPr>
          <w:rFonts w:cs="Arial"/>
          <w:b/>
          <w:bCs/>
        </w:rPr>
        <w:t>mld.</w:t>
      </w:r>
      <w:r w:rsidR="00517AA3">
        <w:rPr>
          <w:rFonts w:cs="Arial"/>
          <w:b/>
          <w:bCs/>
        </w:rPr>
        <w:t> </w:t>
      </w:r>
      <w:r w:rsidRPr="004A450D">
        <w:rPr>
          <w:rFonts w:cs="Arial"/>
          <w:b/>
          <w:bCs/>
        </w:rPr>
        <w:t>Kč</w:t>
      </w:r>
      <w:r>
        <w:rPr>
          <w:rFonts w:cs="Arial"/>
          <w:b/>
          <w:bCs/>
        </w:rPr>
        <w:t>.</w:t>
      </w:r>
      <w:r w:rsidRPr="004A450D">
        <w:rPr>
          <w:rFonts w:cs="Arial"/>
        </w:rPr>
        <w:t xml:space="preserve"> Průměrný počet měsíčně poskytovaných rodičovských příspěvků se snížil o </w:t>
      </w:r>
      <w:r>
        <w:rPr>
          <w:rFonts w:cs="Arial"/>
        </w:rPr>
        <w:t>2</w:t>
      </w:r>
      <w:r w:rsidRPr="004A450D">
        <w:rPr>
          <w:rFonts w:cs="Arial"/>
        </w:rPr>
        <w:t>,</w:t>
      </w:r>
      <w:r>
        <w:rPr>
          <w:rFonts w:cs="Arial"/>
        </w:rPr>
        <w:t xml:space="preserve">4 </w:t>
      </w:r>
      <w:r w:rsidRPr="004A450D">
        <w:rPr>
          <w:rFonts w:cs="Arial"/>
        </w:rPr>
        <w:t>%, tj. o </w:t>
      </w:r>
      <w:r>
        <w:rPr>
          <w:rFonts w:cs="Arial"/>
        </w:rPr>
        <w:t>6</w:t>
      </w:r>
      <w:r w:rsidRPr="004A450D">
        <w:rPr>
          <w:rFonts w:cs="Arial"/>
        </w:rPr>
        <w:t>,8 tis. na</w:t>
      </w:r>
      <w:r w:rsidR="00517AA3">
        <w:rPr>
          <w:rFonts w:cs="Arial"/>
        </w:rPr>
        <w:t xml:space="preserve"> </w:t>
      </w:r>
      <w:r w:rsidRPr="004A450D">
        <w:rPr>
          <w:rFonts w:cs="Arial"/>
          <w:b/>
        </w:rPr>
        <w:t>2</w:t>
      </w:r>
      <w:r>
        <w:rPr>
          <w:rFonts w:cs="Arial"/>
          <w:b/>
        </w:rPr>
        <w:t>77</w:t>
      </w:r>
      <w:r w:rsidRPr="004A450D">
        <w:rPr>
          <w:rFonts w:cs="Arial"/>
          <w:b/>
        </w:rPr>
        <w:t>,3 tis.</w:t>
      </w:r>
      <w:r>
        <w:rPr>
          <w:rFonts w:cs="Arial"/>
          <w:b/>
        </w:rPr>
        <w:t>,</w:t>
      </w:r>
      <w:r w:rsidRPr="004A450D">
        <w:rPr>
          <w:rFonts w:cs="Arial"/>
        </w:rPr>
        <w:t xml:space="preserve"> mj. v souvislosti s poklesem porodnosti od roku 2009.</w:t>
      </w:r>
    </w:p>
    <w:p w:rsidR="000443AA" w:rsidRDefault="000443AA" w:rsidP="00C91C50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6B4346">
        <w:rPr>
          <w:rFonts w:cs="Arial"/>
          <w:b/>
        </w:rPr>
        <w:t>P</w:t>
      </w:r>
      <w:r w:rsidRPr="004A450D">
        <w:rPr>
          <w:rFonts w:cs="Arial"/>
          <w:b/>
          <w:bCs/>
        </w:rPr>
        <w:t>řírůstek</w:t>
      </w:r>
      <w:r w:rsidRPr="004A450D">
        <w:rPr>
          <w:rFonts w:cs="Arial"/>
          <w:bCs/>
        </w:rPr>
        <w:t xml:space="preserve"> byl zaznamenán </w:t>
      </w:r>
      <w:r w:rsidRPr="004A450D">
        <w:rPr>
          <w:rFonts w:cs="Arial"/>
          <w:b/>
          <w:bCs/>
        </w:rPr>
        <w:t>u</w:t>
      </w:r>
      <w:r w:rsidRPr="004A450D">
        <w:rPr>
          <w:rFonts w:cs="Arial"/>
          <w:bCs/>
        </w:rPr>
        <w:t xml:space="preserve"> </w:t>
      </w:r>
      <w:r w:rsidRPr="004A450D">
        <w:rPr>
          <w:rFonts w:cs="Arial"/>
          <w:b/>
          <w:bCs/>
        </w:rPr>
        <w:t>příspěvku na bydlení</w:t>
      </w:r>
      <w:r w:rsidRPr="004A450D">
        <w:rPr>
          <w:rFonts w:cs="Arial"/>
          <w:bCs/>
        </w:rPr>
        <w:t xml:space="preserve"> (2</w:t>
      </w:r>
      <w:r>
        <w:rPr>
          <w:rFonts w:cs="Arial"/>
          <w:bCs/>
        </w:rPr>
        <w:t>4</w:t>
      </w:r>
      <w:r w:rsidRPr="004A450D">
        <w:rPr>
          <w:rFonts w:cs="Arial"/>
          <w:bCs/>
        </w:rPr>
        <w:t>,</w:t>
      </w:r>
      <w:r>
        <w:rPr>
          <w:rFonts w:cs="Arial"/>
          <w:bCs/>
        </w:rPr>
        <w:t>7</w:t>
      </w:r>
      <w:r w:rsidR="00517AA3">
        <w:rPr>
          <w:rFonts w:cs="Arial"/>
          <w:bCs/>
        </w:rPr>
        <w:t> </w:t>
      </w:r>
      <w:r w:rsidRPr="004A450D">
        <w:rPr>
          <w:rFonts w:cs="Arial"/>
          <w:bCs/>
        </w:rPr>
        <w:t>% podíl na</w:t>
      </w:r>
      <w:r w:rsidR="00517AA3">
        <w:rPr>
          <w:rFonts w:cs="Arial"/>
          <w:bCs/>
        </w:rPr>
        <w:t xml:space="preserve"> </w:t>
      </w:r>
      <w:r w:rsidRPr="004A450D">
        <w:rPr>
          <w:rFonts w:cs="Arial"/>
          <w:bCs/>
        </w:rPr>
        <w:t xml:space="preserve">celkové výši výdajů na dávky státní sociální podpory a dávky pěstounské péče). </w:t>
      </w:r>
      <w:r w:rsidRPr="004A450D">
        <w:rPr>
          <w:rFonts w:cs="Arial"/>
        </w:rPr>
        <w:t xml:space="preserve">Ve sledovaném období na něj bylo vynaloženo </w:t>
      </w:r>
      <w:r w:rsidRPr="004A450D">
        <w:rPr>
          <w:rFonts w:cs="Arial"/>
          <w:b/>
        </w:rPr>
        <w:t>4,</w:t>
      </w:r>
      <w:r>
        <w:rPr>
          <w:rFonts w:cs="Arial"/>
          <w:b/>
        </w:rPr>
        <w:t>7</w:t>
      </w:r>
      <w:r w:rsidRPr="004A450D">
        <w:rPr>
          <w:rFonts w:cs="Arial"/>
          <w:b/>
        </w:rPr>
        <w:t> </w:t>
      </w:r>
      <w:r w:rsidRPr="004A450D">
        <w:rPr>
          <w:rFonts w:cs="Arial"/>
          <w:b/>
          <w:bCs/>
        </w:rPr>
        <w:t>mld.</w:t>
      </w:r>
      <w:r>
        <w:rPr>
          <w:rFonts w:cs="Arial"/>
          <w:b/>
          <w:bCs/>
        </w:rPr>
        <w:t> </w:t>
      </w:r>
      <w:r w:rsidRPr="004A450D">
        <w:rPr>
          <w:rFonts w:cs="Arial"/>
          <w:b/>
          <w:bCs/>
        </w:rPr>
        <w:t>Kč</w:t>
      </w:r>
      <w:r>
        <w:rPr>
          <w:rFonts w:cs="Arial"/>
          <w:b/>
          <w:bCs/>
        </w:rPr>
        <w:t>,</w:t>
      </w:r>
      <w:r w:rsidRPr="004A450D">
        <w:rPr>
          <w:rFonts w:cs="Arial"/>
          <w:bCs/>
        </w:rPr>
        <w:t xml:space="preserve"> tj.</w:t>
      </w:r>
      <w:r w:rsidRPr="004A450D">
        <w:rPr>
          <w:rFonts w:cs="Arial"/>
          <w:b/>
          <w:bCs/>
        </w:rPr>
        <w:t xml:space="preserve"> </w:t>
      </w:r>
      <w:r w:rsidRPr="004A450D">
        <w:rPr>
          <w:rFonts w:cs="Arial"/>
          <w:b/>
        </w:rPr>
        <w:t>o</w:t>
      </w:r>
      <w:r>
        <w:rPr>
          <w:rFonts w:cs="Arial"/>
          <w:b/>
        </w:rPr>
        <w:t> 6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2 </w:t>
      </w:r>
      <w:r w:rsidRPr="004A450D">
        <w:rPr>
          <w:rFonts w:cs="Arial"/>
          <w:b/>
        </w:rPr>
        <w:t>%</w:t>
      </w:r>
      <w:r w:rsidRPr="004A450D">
        <w:rPr>
          <w:rFonts w:cs="Arial"/>
        </w:rPr>
        <w:t xml:space="preserve"> (o 0,</w:t>
      </w:r>
      <w:r>
        <w:rPr>
          <w:rFonts w:cs="Arial"/>
        </w:rPr>
        <w:t>3</w:t>
      </w:r>
      <w:r w:rsidRPr="004A450D">
        <w:rPr>
          <w:rFonts w:cs="Arial"/>
        </w:rPr>
        <w:t xml:space="preserve"> mld. Kč) </w:t>
      </w:r>
      <w:r w:rsidRPr="004A450D">
        <w:rPr>
          <w:rFonts w:cs="Arial"/>
          <w:b/>
        </w:rPr>
        <w:t>více</w:t>
      </w:r>
      <w:r w:rsidRPr="004A450D">
        <w:rPr>
          <w:rFonts w:cs="Arial"/>
        </w:rPr>
        <w:t xml:space="preserve"> při zvýšeném počtu v průměru měsíčně vyplácených dávek (o </w:t>
      </w:r>
      <w:r>
        <w:rPr>
          <w:rFonts w:cs="Arial"/>
        </w:rPr>
        <w:t>4</w:t>
      </w:r>
      <w:r w:rsidRPr="004A450D">
        <w:rPr>
          <w:rFonts w:cs="Arial"/>
        </w:rPr>
        <w:t>,</w:t>
      </w:r>
      <w:r>
        <w:rPr>
          <w:rFonts w:cs="Arial"/>
        </w:rPr>
        <w:t>8</w:t>
      </w:r>
      <w:r w:rsidR="00517AA3">
        <w:rPr>
          <w:rFonts w:cs="Arial"/>
        </w:rPr>
        <w:t> </w:t>
      </w:r>
      <w:r w:rsidRPr="004A450D">
        <w:rPr>
          <w:rFonts w:cs="Arial"/>
        </w:rPr>
        <w:t>%, tj. o </w:t>
      </w:r>
      <w:r>
        <w:rPr>
          <w:rFonts w:cs="Arial"/>
        </w:rPr>
        <w:t>10</w:t>
      </w:r>
      <w:r w:rsidRPr="004A450D">
        <w:rPr>
          <w:rFonts w:cs="Arial"/>
        </w:rPr>
        <w:t>,5</w:t>
      </w:r>
      <w:r w:rsidR="00517AA3">
        <w:rPr>
          <w:rFonts w:cs="Arial"/>
        </w:rPr>
        <w:t> </w:t>
      </w:r>
      <w:r w:rsidRPr="004A450D">
        <w:rPr>
          <w:rFonts w:cs="Arial"/>
        </w:rPr>
        <w:t xml:space="preserve">tis.) na </w:t>
      </w:r>
      <w:r w:rsidRPr="004A450D">
        <w:rPr>
          <w:rFonts w:cs="Arial"/>
          <w:b/>
        </w:rPr>
        <w:t>2</w:t>
      </w:r>
      <w:r>
        <w:rPr>
          <w:rFonts w:cs="Arial"/>
          <w:b/>
        </w:rPr>
        <w:t>31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3</w:t>
      </w:r>
      <w:r w:rsidRPr="004A450D">
        <w:rPr>
          <w:rFonts w:cs="Arial"/>
          <w:b/>
        </w:rPr>
        <w:t> tis.</w:t>
      </w:r>
      <w:r>
        <w:rPr>
          <w:rFonts w:cs="Arial"/>
          <w:b/>
        </w:rPr>
        <w:t>,</w:t>
      </w:r>
      <w:r w:rsidRPr="004A450D">
        <w:rPr>
          <w:rFonts w:cs="Arial"/>
        </w:rPr>
        <w:t xml:space="preserve"> jejichž </w:t>
      </w:r>
      <w:r w:rsidRPr="004A450D">
        <w:rPr>
          <w:rFonts w:cs="Arial"/>
          <w:bCs/>
        </w:rPr>
        <w:t>průměrná výše vzrostla</w:t>
      </w:r>
      <w:r w:rsidRPr="004A450D">
        <w:rPr>
          <w:rFonts w:cs="Arial"/>
        </w:rPr>
        <w:t xml:space="preserve"> z</w:t>
      </w:r>
      <w:r>
        <w:rPr>
          <w:rFonts w:cs="Arial"/>
        </w:rPr>
        <w:t> </w:t>
      </w:r>
      <w:r w:rsidRPr="004A450D">
        <w:rPr>
          <w:rFonts w:cs="Arial"/>
        </w:rPr>
        <w:t>3</w:t>
      </w:r>
      <w:r>
        <w:rPr>
          <w:rFonts w:cs="Arial"/>
        </w:rPr>
        <w:t> 346 </w:t>
      </w:r>
      <w:r w:rsidRPr="004A450D">
        <w:rPr>
          <w:rFonts w:cs="Arial"/>
          <w:bCs/>
        </w:rPr>
        <w:t>Kč</w:t>
      </w:r>
      <w:r w:rsidRPr="004A450D">
        <w:rPr>
          <w:rFonts w:cs="Arial"/>
        </w:rPr>
        <w:t xml:space="preserve"> na 3 3</w:t>
      </w:r>
      <w:r>
        <w:rPr>
          <w:rFonts w:cs="Arial"/>
        </w:rPr>
        <w:t>96</w:t>
      </w:r>
      <w:r w:rsidRPr="004A450D">
        <w:rPr>
          <w:rFonts w:cs="Arial"/>
        </w:rPr>
        <w:t xml:space="preserve"> Kč (o </w:t>
      </w:r>
      <w:r>
        <w:rPr>
          <w:rFonts w:cs="Arial"/>
        </w:rPr>
        <w:t>1</w:t>
      </w:r>
      <w:r w:rsidRPr="004A450D">
        <w:rPr>
          <w:rFonts w:cs="Arial"/>
        </w:rPr>
        <w:t>,</w:t>
      </w:r>
      <w:r>
        <w:rPr>
          <w:rFonts w:cs="Arial"/>
        </w:rPr>
        <w:t>5</w:t>
      </w:r>
      <w:r w:rsidRPr="004A450D">
        <w:rPr>
          <w:rFonts w:cs="Arial"/>
        </w:rPr>
        <w:t xml:space="preserve">%). </w:t>
      </w:r>
    </w:p>
    <w:p w:rsidR="000443AA" w:rsidRDefault="000443AA" w:rsidP="00C91C50">
      <w:pPr>
        <w:spacing w:after="240" w:line="360" w:lineRule="auto"/>
        <w:jc w:val="both"/>
        <w:rPr>
          <w:rFonts w:cs="Arial"/>
          <w:b/>
        </w:rPr>
      </w:pPr>
      <w:r>
        <w:rPr>
          <w:rFonts w:cs="Arial"/>
        </w:rPr>
        <w:tab/>
      </w:r>
      <w:r w:rsidRPr="004A450D">
        <w:rPr>
          <w:rFonts w:cs="Arial"/>
        </w:rPr>
        <w:t xml:space="preserve">Formou </w:t>
      </w:r>
      <w:r w:rsidRPr="004A450D">
        <w:rPr>
          <w:rFonts w:cs="Arial"/>
          <w:b/>
          <w:bCs/>
        </w:rPr>
        <w:t xml:space="preserve">přídavku na dítě </w:t>
      </w:r>
      <w:r w:rsidRPr="004A450D">
        <w:rPr>
          <w:rFonts w:cs="Arial"/>
          <w:bCs/>
        </w:rPr>
        <w:t>(s podílem 8,</w:t>
      </w:r>
      <w:r>
        <w:rPr>
          <w:rFonts w:cs="Arial"/>
          <w:bCs/>
        </w:rPr>
        <w:t>3</w:t>
      </w:r>
      <w:r w:rsidRPr="004A450D">
        <w:rPr>
          <w:rFonts w:cs="Arial"/>
          <w:bCs/>
        </w:rPr>
        <w:t xml:space="preserve"> % na celkovém objemu dávek státní sociální podpory a dávek pěstounské péče)</w:t>
      </w:r>
      <w:r w:rsidRPr="004A450D">
        <w:rPr>
          <w:rFonts w:cs="Arial"/>
        </w:rPr>
        <w:t xml:space="preserve"> bylo vyplaceno</w:t>
      </w:r>
      <w:r w:rsidRPr="004A450D">
        <w:rPr>
          <w:rFonts w:cs="Arial"/>
          <w:b/>
          <w:bCs/>
        </w:rPr>
        <w:t xml:space="preserve"> 1,</w:t>
      </w:r>
      <w:r>
        <w:rPr>
          <w:rFonts w:cs="Arial"/>
          <w:b/>
          <w:bCs/>
        </w:rPr>
        <w:t>6</w:t>
      </w:r>
      <w:r w:rsidR="00517AA3">
        <w:rPr>
          <w:rFonts w:cs="Arial"/>
          <w:b/>
          <w:bCs/>
        </w:rPr>
        <w:t> </w:t>
      </w:r>
      <w:r w:rsidRPr="004A450D">
        <w:rPr>
          <w:rFonts w:cs="Arial"/>
          <w:b/>
          <w:bCs/>
        </w:rPr>
        <w:t>mld.</w:t>
      </w:r>
      <w:r w:rsidR="00517AA3">
        <w:rPr>
          <w:rFonts w:cs="Arial"/>
          <w:b/>
          <w:bCs/>
        </w:rPr>
        <w:t> </w:t>
      </w:r>
      <w:r w:rsidRPr="004A450D">
        <w:rPr>
          <w:rFonts w:cs="Arial"/>
          <w:b/>
          <w:bCs/>
        </w:rPr>
        <w:t>Kč</w:t>
      </w:r>
      <w:r w:rsidR="00517AA3">
        <w:rPr>
          <w:rFonts w:cs="Arial"/>
          <w:b/>
          <w:bCs/>
        </w:rPr>
        <w:t>,</w:t>
      </w:r>
      <w:r w:rsidRPr="004A450D">
        <w:rPr>
          <w:rFonts w:cs="Arial"/>
        </w:rPr>
        <w:t xml:space="preserve"> meziročně </w:t>
      </w:r>
      <w:r w:rsidRPr="004A450D">
        <w:rPr>
          <w:rFonts w:cs="Arial"/>
          <w:b/>
        </w:rPr>
        <w:lastRenderedPageBreak/>
        <w:t>o </w:t>
      </w:r>
      <w:r>
        <w:rPr>
          <w:rFonts w:cs="Arial"/>
          <w:b/>
        </w:rPr>
        <w:t>4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1</w:t>
      </w:r>
      <w:r w:rsidRPr="004A450D">
        <w:rPr>
          <w:rFonts w:cs="Arial"/>
          <w:b/>
        </w:rPr>
        <w:t> % méně</w:t>
      </w:r>
      <w:r w:rsidR="00517AA3">
        <w:rPr>
          <w:rFonts w:cs="Arial"/>
          <w:b/>
        </w:rPr>
        <w:t>.</w:t>
      </w:r>
      <w:r w:rsidRPr="004A450D">
        <w:rPr>
          <w:rFonts w:cs="Arial"/>
        </w:rPr>
        <w:t xml:space="preserve"> Počet vyplácených dávek se snížil ve sledovaném období o </w:t>
      </w:r>
      <w:r>
        <w:rPr>
          <w:rFonts w:cs="Arial"/>
        </w:rPr>
        <w:t>4</w:t>
      </w:r>
      <w:r w:rsidRPr="004A450D">
        <w:rPr>
          <w:rFonts w:cs="Arial"/>
        </w:rPr>
        <w:t>,</w:t>
      </w:r>
      <w:r>
        <w:rPr>
          <w:rFonts w:cs="Arial"/>
        </w:rPr>
        <w:t>0</w:t>
      </w:r>
      <w:r w:rsidR="00517AA3">
        <w:rPr>
          <w:rFonts w:cs="Arial"/>
        </w:rPr>
        <w:t> </w:t>
      </w:r>
      <w:r w:rsidRPr="004A450D">
        <w:rPr>
          <w:rFonts w:cs="Arial"/>
        </w:rPr>
        <w:t>% (o 1</w:t>
      </w:r>
      <w:r>
        <w:rPr>
          <w:rFonts w:cs="Arial"/>
        </w:rPr>
        <w:t>8</w:t>
      </w:r>
      <w:r w:rsidRPr="004A450D">
        <w:rPr>
          <w:rFonts w:cs="Arial"/>
        </w:rPr>
        <w:t>,</w:t>
      </w:r>
      <w:r>
        <w:rPr>
          <w:rFonts w:cs="Arial"/>
        </w:rPr>
        <w:t>3</w:t>
      </w:r>
      <w:r w:rsidRPr="004A450D">
        <w:rPr>
          <w:rFonts w:cs="Arial"/>
        </w:rPr>
        <w:t> tis.) na </w:t>
      </w:r>
      <w:r w:rsidRPr="004A450D">
        <w:rPr>
          <w:rFonts w:cs="Arial"/>
          <w:b/>
        </w:rPr>
        <w:t>4</w:t>
      </w:r>
      <w:r>
        <w:rPr>
          <w:rFonts w:cs="Arial"/>
          <w:b/>
        </w:rPr>
        <w:t>39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2</w:t>
      </w:r>
      <w:r w:rsidRPr="004A450D">
        <w:rPr>
          <w:rFonts w:cs="Arial"/>
          <w:b/>
        </w:rPr>
        <w:t> tis.</w:t>
      </w:r>
    </w:p>
    <w:p w:rsidR="000443AA" w:rsidRDefault="000443AA" w:rsidP="00257513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ab/>
        <w:t>K výraznému zvýšení došlo v důsledku legislativních změn u</w:t>
      </w:r>
      <w:r w:rsidRPr="004A450D">
        <w:rPr>
          <w:rFonts w:cs="Arial"/>
          <w:b/>
          <w:bCs/>
        </w:rPr>
        <w:t xml:space="preserve"> porodné</w:t>
      </w:r>
      <w:r>
        <w:rPr>
          <w:rFonts w:cs="Arial"/>
          <w:b/>
          <w:bCs/>
        </w:rPr>
        <w:t>ho</w:t>
      </w:r>
      <w:r w:rsidRPr="004A450D">
        <w:rPr>
          <w:rFonts w:cs="Arial"/>
          <w:bCs/>
        </w:rPr>
        <w:t>, které je od 1. </w:t>
      </w:r>
      <w:r w:rsidR="00517AA3">
        <w:rPr>
          <w:rFonts w:cs="Arial"/>
          <w:bCs/>
        </w:rPr>
        <w:t>ledna</w:t>
      </w:r>
      <w:r w:rsidRPr="004A450D">
        <w:rPr>
          <w:rFonts w:cs="Arial"/>
          <w:bCs/>
        </w:rPr>
        <w:t xml:space="preserve"> 201</w:t>
      </w:r>
      <w:r>
        <w:rPr>
          <w:rFonts w:cs="Arial"/>
          <w:bCs/>
        </w:rPr>
        <w:t>5 přiznáváno i na druhé narozené</w:t>
      </w:r>
      <w:r w:rsidRPr="004A450D">
        <w:rPr>
          <w:rFonts w:cs="Arial"/>
          <w:bCs/>
        </w:rPr>
        <w:t xml:space="preserve"> dítě rodinám s příjmy do</w:t>
      </w:r>
      <w:r w:rsidR="00517AA3">
        <w:rPr>
          <w:rFonts w:cs="Arial"/>
          <w:bCs/>
        </w:rPr>
        <w:t> </w:t>
      </w:r>
      <w:r w:rsidRPr="004A450D">
        <w:rPr>
          <w:rFonts w:cs="Arial"/>
          <w:bCs/>
        </w:rPr>
        <w:t>2,</w:t>
      </w:r>
      <w:r>
        <w:rPr>
          <w:rFonts w:cs="Arial"/>
          <w:bCs/>
        </w:rPr>
        <w:t>7</w:t>
      </w:r>
      <w:r w:rsidRPr="004A450D">
        <w:rPr>
          <w:rFonts w:cs="Arial"/>
          <w:bCs/>
        </w:rPr>
        <w:t xml:space="preserve"> násobku životního minima</w:t>
      </w:r>
      <w:r>
        <w:rPr>
          <w:rFonts w:cs="Arial"/>
          <w:bCs/>
        </w:rPr>
        <w:t>.</w:t>
      </w:r>
      <w:r w:rsidRPr="004A450D">
        <w:rPr>
          <w:rFonts w:cs="Arial"/>
          <w:bCs/>
        </w:rPr>
        <w:t xml:space="preserve"> </w:t>
      </w:r>
      <w:r>
        <w:rPr>
          <w:rFonts w:cs="Arial"/>
          <w:bCs/>
        </w:rPr>
        <w:t>B</w:t>
      </w:r>
      <w:r w:rsidRPr="004A450D">
        <w:rPr>
          <w:rFonts w:cs="Arial"/>
          <w:bCs/>
        </w:rPr>
        <w:t xml:space="preserve">ylo </w:t>
      </w:r>
      <w:r>
        <w:rPr>
          <w:rFonts w:cs="Arial"/>
          <w:bCs/>
        </w:rPr>
        <w:t xml:space="preserve">na něj </w:t>
      </w:r>
      <w:r w:rsidRPr="004A450D">
        <w:rPr>
          <w:rFonts w:cs="Arial"/>
          <w:bCs/>
        </w:rPr>
        <w:t xml:space="preserve">vyplaceno </w:t>
      </w:r>
      <w:r w:rsidRPr="00F67816">
        <w:rPr>
          <w:rFonts w:cs="Arial"/>
          <w:b/>
          <w:bCs/>
        </w:rPr>
        <w:t>117,8</w:t>
      </w:r>
      <w:r w:rsidRPr="004A450D">
        <w:rPr>
          <w:rFonts w:cs="Arial"/>
          <w:b/>
          <w:bCs/>
        </w:rPr>
        <w:t xml:space="preserve"> mil. Kč</w:t>
      </w:r>
      <w:r>
        <w:rPr>
          <w:rFonts w:cs="Arial"/>
          <w:b/>
          <w:bCs/>
        </w:rPr>
        <w:t>,</w:t>
      </w:r>
      <w:r w:rsidRPr="004A450D">
        <w:rPr>
          <w:rFonts w:cs="Arial"/>
          <w:bCs/>
        </w:rPr>
        <w:t xml:space="preserve"> tj. </w:t>
      </w:r>
      <w:r w:rsidRPr="004A450D">
        <w:rPr>
          <w:rFonts w:cs="Arial"/>
          <w:b/>
          <w:bCs/>
        </w:rPr>
        <w:t>o </w:t>
      </w:r>
      <w:r>
        <w:rPr>
          <w:rFonts w:cs="Arial"/>
          <w:b/>
          <w:bCs/>
        </w:rPr>
        <w:t>6</w:t>
      </w:r>
      <w:r w:rsidRPr="004A450D">
        <w:rPr>
          <w:rFonts w:cs="Arial"/>
          <w:b/>
          <w:bCs/>
        </w:rPr>
        <w:t>4,</w:t>
      </w:r>
      <w:r>
        <w:rPr>
          <w:rFonts w:cs="Arial"/>
          <w:b/>
          <w:bCs/>
        </w:rPr>
        <w:t>5</w:t>
      </w:r>
      <w:r w:rsidRPr="004A450D">
        <w:rPr>
          <w:rFonts w:cs="Arial"/>
          <w:b/>
          <w:bCs/>
        </w:rPr>
        <w:t xml:space="preserve"> % </w:t>
      </w:r>
      <w:r>
        <w:rPr>
          <w:rFonts w:cs="Arial"/>
          <w:b/>
          <w:bCs/>
        </w:rPr>
        <w:t>více</w:t>
      </w:r>
      <w:r w:rsidRPr="004A450D">
        <w:rPr>
          <w:rFonts w:cs="Arial"/>
          <w:bCs/>
        </w:rPr>
        <w:t xml:space="preserve"> než ve stejném období předchozího roku</w:t>
      </w:r>
      <w:r>
        <w:rPr>
          <w:rFonts w:cs="Arial"/>
        </w:rPr>
        <w:t>.</w:t>
      </w:r>
    </w:p>
    <w:p w:rsidR="000443AA" w:rsidRDefault="000443AA" w:rsidP="00257513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4A450D">
        <w:rPr>
          <w:rFonts w:cs="Arial"/>
          <w:bCs/>
        </w:rPr>
        <w:t>Na</w:t>
      </w:r>
      <w:r w:rsidRPr="004A450D">
        <w:rPr>
          <w:rFonts w:cs="Arial"/>
          <w:b/>
          <w:bCs/>
        </w:rPr>
        <w:t xml:space="preserve"> dávky pěstounské </w:t>
      </w:r>
      <w:r w:rsidRPr="004A450D">
        <w:rPr>
          <w:rFonts w:cs="Arial"/>
          <w:bCs/>
        </w:rPr>
        <w:t>péče bylo vy</w:t>
      </w:r>
      <w:r>
        <w:rPr>
          <w:rFonts w:cs="Arial"/>
          <w:bCs/>
        </w:rPr>
        <w:t>naloženo</w:t>
      </w:r>
      <w:r w:rsidRPr="004A450D">
        <w:rPr>
          <w:rFonts w:cs="Arial"/>
          <w:bCs/>
        </w:rPr>
        <w:t xml:space="preserve"> </w:t>
      </w:r>
      <w:r w:rsidRPr="004A450D">
        <w:rPr>
          <w:rFonts w:cs="Arial"/>
          <w:b/>
          <w:bCs/>
        </w:rPr>
        <w:t>o 1</w:t>
      </w:r>
      <w:r>
        <w:rPr>
          <w:rFonts w:cs="Arial"/>
          <w:b/>
          <w:bCs/>
        </w:rPr>
        <w:t>3</w:t>
      </w:r>
      <w:r w:rsidRPr="004A450D">
        <w:rPr>
          <w:rFonts w:cs="Arial"/>
          <w:b/>
          <w:bCs/>
        </w:rPr>
        <w:t>,</w:t>
      </w:r>
      <w:r>
        <w:rPr>
          <w:rFonts w:cs="Arial"/>
          <w:b/>
          <w:bCs/>
        </w:rPr>
        <w:t>2</w:t>
      </w:r>
      <w:r w:rsidR="00517AA3">
        <w:rPr>
          <w:rFonts w:cs="Arial"/>
          <w:b/>
          <w:bCs/>
        </w:rPr>
        <w:t> </w:t>
      </w:r>
      <w:r w:rsidRPr="004A450D">
        <w:rPr>
          <w:rFonts w:cs="Arial"/>
          <w:b/>
          <w:bCs/>
        </w:rPr>
        <w:t>%</w:t>
      </w:r>
      <w:r w:rsidRPr="004A450D">
        <w:rPr>
          <w:rFonts w:cs="Arial"/>
          <w:bCs/>
        </w:rPr>
        <w:t xml:space="preserve"> (o 1</w:t>
      </w:r>
      <w:r>
        <w:rPr>
          <w:rFonts w:cs="Arial"/>
          <w:bCs/>
        </w:rPr>
        <w:t>52</w:t>
      </w:r>
      <w:r w:rsidRPr="004A450D">
        <w:rPr>
          <w:rFonts w:cs="Arial"/>
          <w:bCs/>
        </w:rPr>
        <w:t>,2</w:t>
      </w:r>
      <w:r w:rsidR="00517AA3">
        <w:rPr>
          <w:rFonts w:cs="Arial"/>
          <w:bCs/>
        </w:rPr>
        <w:t> </w:t>
      </w:r>
      <w:r w:rsidRPr="004A450D">
        <w:rPr>
          <w:rFonts w:cs="Arial"/>
          <w:bCs/>
        </w:rPr>
        <w:t>mil.</w:t>
      </w:r>
      <w:r w:rsidR="00517AA3">
        <w:rPr>
          <w:rFonts w:cs="Arial"/>
          <w:bCs/>
        </w:rPr>
        <w:t> </w:t>
      </w:r>
      <w:r w:rsidRPr="004A450D">
        <w:rPr>
          <w:rFonts w:cs="Arial"/>
          <w:bCs/>
        </w:rPr>
        <w:t xml:space="preserve">Kč) meziročně </w:t>
      </w:r>
      <w:r w:rsidRPr="004A450D">
        <w:rPr>
          <w:rFonts w:cs="Arial"/>
          <w:b/>
          <w:bCs/>
        </w:rPr>
        <w:t>více</w:t>
      </w:r>
      <w:r w:rsidRPr="004A450D">
        <w:rPr>
          <w:rFonts w:cs="Arial"/>
          <w:bCs/>
        </w:rPr>
        <w:t xml:space="preserve">, tedy </w:t>
      </w:r>
      <w:r w:rsidRPr="003459ED">
        <w:rPr>
          <w:rFonts w:cs="Arial"/>
          <w:b/>
          <w:bCs/>
        </w:rPr>
        <w:t>1</w:t>
      </w:r>
      <w:r w:rsidRPr="004A450D">
        <w:rPr>
          <w:rFonts w:cs="Arial"/>
          <w:b/>
          <w:bCs/>
        </w:rPr>
        <w:t>,</w:t>
      </w:r>
      <w:r>
        <w:rPr>
          <w:rFonts w:cs="Arial"/>
          <w:b/>
          <w:bCs/>
        </w:rPr>
        <w:t>3</w:t>
      </w:r>
      <w:r w:rsidR="00517AA3">
        <w:rPr>
          <w:rFonts w:cs="Arial"/>
          <w:b/>
          <w:bCs/>
        </w:rPr>
        <w:t> </w:t>
      </w:r>
      <w:r w:rsidRPr="004A450D">
        <w:rPr>
          <w:rFonts w:cs="Arial"/>
          <w:b/>
          <w:bCs/>
        </w:rPr>
        <w:t>mld.</w:t>
      </w:r>
      <w:r w:rsidR="00517AA3">
        <w:rPr>
          <w:rFonts w:cs="Arial"/>
          <w:b/>
          <w:bCs/>
        </w:rPr>
        <w:t> </w:t>
      </w:r>
      <w:r w:rsidRPr="004A450D">
        <w:rPr>
          <w:rFonts w:cs="Arial"/>
          <w:b/>
          <w:bCs/>
        </w:rPr>
        <w:t>Kč</w:t>
      </w:r>
      <w:r w:rsidR="00517AA3">
        <w:rPr>
          <w:rFonts w:cs="Arial"/>
          <w:b/>
          <w:bCs/>
        </w:rPr>
        <w:t>.</w:t>
      </w:r>
      <w:r w:rsidRPr="004A450D">
        <w:rPr>
          <w:rFonts w:cs="Arial"/>
          <w:bCs/>
        </w:rPr>
        <w:t xml:space="preserve"> Průměrný počet vyplacených dávek vzrostl o 1</w:t>
      </w:r>
      <w:r>
        <w:rPr>
          <w:rFonts w:cs="Arial"/>
          <w:bCs/>
        </w:rPr>
        <w:t>0</w:t>
      </w:r>
      <w:r w:rsidRPr="004A450D">
        <w:rPr>
          <w:rFonts w:cs="Arial"/>
          <w:bCs/>
        </w:rPr>
        <w:t>,</w:t>
      </w:r>
      <w:r>
        <w:rPr>
          <w:rFonts w:cs="Arial"/>
          <w:bCs/>
        </w:rPr>
        <w:t>7</w:t>
      </w:r>
      <w:r w:rsidRPr="004A450D">
        <w:rPr>
          <w:rFonts w:cs="Arial"/>
          <w:bCs/>
        </w:rPr>
        <w:t xml:space="preserve"> %, na </w:t>
      </w:r>
      <w:r w:rsidRPr="004A450D">
        <w:rPr>
          <w:rFonts w:cs="Arial"/>
          <w:b/>
          <w:bCs/>
        </w:rPr>
        <w:t>2</w:t>
      </w:r>
      <w:r>
        <w:rPr>
          <w:rFonts w:cs="Arial"/>
          <w:b/>
          <w:bCs/>
        </w:rPr>
        <w:t>6</w:t>
      </w:r>
      <w:r w:rsidRPr="004A450D">
        <w:rPr>
          <w:rFonts w:cs="Arial"/>
          <w:b/>
          <w:bCs/>
        </w:rPr>
        <w:t>,</w:t>
      </w:r>
      <w:r>
        <w:rPr>
          <w:rFonts w:cs="Arial"/>
          <w:b/>
          <w:bCs/>
        </w:rPr>
        <w:t>9</w:t>
      </w:r>
      <w:r w:rsidRPr="004A450D">
        <w:rPr>
          <w:rFonts w:cs="Arial"/>
          <w:b/>
          <w:bCs/>
        </w:rPr>
        <w:t xml:space="preserve"> tis.</w:t>
      </w:r>
      <w:r w:rsidRPr="004A450D">
        <w:rPr>
          <w:rFonts w:cs="Arial"/>
        </w:rPr>
        <w:t xml:space="preserve"> Je to důsledek zvyšujícího se </w:t>
      </w:r>
      <w:r w:rsidRPr="004A450D">
        <w:rPr>
          <w:rFonts w:cs="Arial"/>
          <w:bCs/>
        </w:rPr>
        <w:t xml:space="preserve">počtu dětí v pěstounské péči i počtu pěstounů a také zvýšení odměny pěstouna v souvislosti se změnou právní úpravy od ledna 2013 </w:t>
      </w:r>
      <w:r w:rsidR="00517AA3">
        <w:rPr>
          <w:rFonts w:cs="Arial"/>
          <w:bCs/>
        </w:rPr>
        <w:t>–</w:t>
      </w:r>
      <w:r w:rsidRPr="004A450D">
        <w:rPr>
          <w:rFonts w:cs="Arial"/>
        </w:rPr>
        <w:t xml:space="preserve"> viz tabulky č. 11 - 14 v příloze.</w:t>
      </w:r>
    </w:p>
    <w:p w:rsidR="000443AA" w:rsidRPr="00E73862" w:rsidRDefault="000443AA" w:rsidP="000443AA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E73862">
        <w:rPr>
          <w:rFonts w:cs="Arial"/>
        </w:rPr>
        <w:t xml:space="preserve">Podle územního členění připadla </w:t>
      </w:r>
      <w:r w:rsidRPr="00E73862">
        <w:rPr>
          <w:rFonts w:cs="Arial"/>
          <w:b/>
          <w:bCs/>
        </w:rPr>
        <w:t xml:space="preserve">nejvyšší částka </w:t>
      </w:r>
      <w:r w:rsidRPr="00E73862">
        <w:rPr>
          <w:rFonts w:cs="Arial"/>
        </w:rPr>
        <w:t xml:space="preserve">poskytnutá prostřednictvím systému státní sociální podpory a pěstounské péče </w:t>
      </w:r>
      <w:r w:rsidRPr="00E73862">
        <w:rPr>
          <w:rFonts w:cs="Arial"/>
          <w:b/>
          <w:bCs/>
        </w:rPr>
        <w:t>na 1 obyvatele</w:t>
      </w:r>
      <w:r w:rsidRPr="00E73862">
        <w:rPr>
          <w:rFonts w:cs="Arial"/>
        </w:rPr>
        <w:t xml:space="preserve"> v kraji </w:t>
      </w:r>
      <w:r w:rsidRPr="00E73862">
        <w:rPr>
          <w:rFonts w:cs="Arial"/>
          <w:b/>
          <w:bCs/>
        </w:rPr>
        <w:t xml:space="preserve">Ústeckém a Zlínském, nejnižší v Plzeňském kraji, </w:t>
      </w:r>
      <w:r w:rsidRPr="00E73862">
        <w:rPr>
          <w:rFonts w:cs="Arial"/>
          <w:bCs/>
        </w:rPr>
        <w:t>nejrychleji tato částka</w:t>
      </w:r>
      <w:r w:rsidRPr="00E73862">
        <w:rPr>
          <w:rFonts w:cs="Arial"/>
        </w:rPr>
        <w:t xml:space="preserve"> rostla rovněž v  Ústeckém a Zlínském kraji (viz tabulku č. 15 v příloze).</w:t>
      </w:r>
    </w:p>
    <w:p w:rsidR="00517AA3" w:rsidRDefault="00517AA3" w:rsidP="001F5BEA">
      <w:pPr>
        <w:spacing w:line="276" w:lineRule="auto"/>
        <w:jc w:val="both"/>
        <w:rPr>
          <w:rFonts w:cs="Arial"/>
        </w:rPr>
      </w:pPr>
    </w:p>
    <w:p w:rsidR="000443AA" w:rsidRPr="004A450D" w:rsidRDefault="000443AA" w:rsidP="001F5BEA">
      <w:pPr>
        <w:spacing w:line="276" w:lineRule="auto"/>
        <w:jc w:val="both"/>
        <w:rPr>
          <w:rFonts w:cs="Arial"/>
        </w:rPr>
      </w:pPr>
    </w:p>
    <w:p w:rsidR="000443AA" w:rsidRDefault="000443AA" w:rsidP="00257513">
      <w:pPr>
        <w:spacing w:after="240" w:line="360" w:lineRule="auto"/>
        <w:jc w:val="both"/>
        <w:rPr>
          <w:rFonts w:cs="Arial"/>
        </w:rPr>
      </w:pPr>
      <w:r w:rsidRPr="004A450D">
        <w:rPr>
          <w:rFonts w:cs="Arial"/>
        </w:rPr>
        <w:tab/>
        <w:t xml:space="preserve">V pořadí </w:t>
      </w:r>
      <w:r w:rsidRPr="004A450D">
        <w:rPr>
          <w:rFonts w:cs="Arial"/>
          <w:b/>
        </w:rPr>
        <w:t xml:space="preserve">třetí </w:t>
      </w:r>
      <w:r w:rsidRPr="004A450D">
        <w:rPr>
          <w:rFonts w:cs="Arial"/>
        </w:rPr>
        <w:t xml:space="preserve">objemově </w:t>
      </w:r>
      <w:r w:rsidRPr="004A450D">
        <w:rPr>
          <w:rFonts w:cs="Arial"/>
          <w:b/>
        </w:rPr>
        <w:t xml:space="preserve">největší položku </w:t>
      </w:r>
      <w:r w:rsidRPr="004A450D">
        <w:rPr>
          <w:rFonts w:cs="Arial"/>
        </w:rPr>
        <w:t xml:space="preserve">sociálních příjmů domácností tvořily </w:t>
      </w:r>
      <w:r w:rsidRPr="004A450D">
        <w:rPr>
          <w:rFonts w:cs="Arial"/>
          <w:b/>
          <w:u w:val="single"/>
        </w:rPr>
        <w:t>dávky nemocenského pojištěn</w:t>
      </w:r>
      <w:r w:rsidRPr="00693F03">
        <w:rPr>
          <w:rFonts w:cs="Arial"/>
          <w:b/>
          <w:u w:val="single"/>
        </w:rPr>
        <w:t>í.</w:t>
      </w:r>
      <w:r w:rsidRPr="004A450D">
        <w:rPr>
          <w:rFonts w:cs="Arial"/>
          <w:b/>
        </w:rPr>
        <w:t xml:space="preserve"> </w:t>
      </w:r>
      <w:r w:rsidRPr="004A450D">
        <w:rPr>
          <w:rFonts w:cs="Arial"/>
        </w:rPr>
        <w:t>Touto formou bylo v 1. pololetí 201</w:t>
      </w:r>
      <w:r>
        <w:rPr>
          <w:rFonts w:cs="Arial"/>
        </w:rPr>
        <w:t>5</w:t>
      </w:r>
      <w:r w:rsidRPr="004A450D">
        <w:rPr>
          <w:rFonts w:cs="Arial"/>
        </w:rPr>
        <w:t xml:space="preserve"> poskytnuto </w:t>
      </w:r>
      <w:r w:rsidRPr="004A450D">
        <w:rPr>
          <w:rFonts w:cs="Arial"/>
          <w:b/>
        </w:rPr>
        <w:t>1</w:t>
      </w:r>
      <w:r>
        <w:rPr>
          <w:rFonts w:cs="Arial"/>
          <w:b/>
        </w:rPr>
        <w:t>2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3</w:t>
      </w:r>
      <w:r w:rsidRPr="004A450D">
        <w:rPr>
          <w:rFonts w:cs="Arial"/>
          <w:b/>
        </w:rPr>
        <w:t xml:space="preserve"> mld. Kč, </w:t>
      </w:r>
      <w:r w:rsidRPr="004A450D">
        <w:rPr>
          <w:rFonts w:cs="Arial"/>
        </w:rPr>
        <w:t xml:space="preserve">což bylo o </w:t>
      </w:r>
      <w:r>
        <w:rPr>
          <w:rFonts w:cs="Arial"/>
        </w:rPr>
        <w:t>1</w:t>
      </w:r>
      <w:r w:rsidRPr="004A450D">
        <w:rPr>
          <w:rFonts w:cs="Arial"/>
        </w:rPr>
        <w:t>,</w:t>
      </w:r>
      <w:r>
        <w:rPr>
          <w:rFonts w:cs="Arial"/>
        </w:rPr>
        <w:t>2</w:t>
      </w:r>
      <w:r w:rsidRPr="004A450D">
        <w:rPr>
          <w:rFonts w:cs="Arial"/>
        </w:rPr>
        <w:t xml:space="preserve"> mld. Kč (</w:t>
      </w:r>
      <w:r w:rsidRPr="004A450D">
        <w:rPr>
          <w:rFonts w:cs="Arial"/>
          <w:b/>
        </w:rPr>
        <w:t xml:space="preserve">o </w:t>
      </w:r>
      <w:r>
        <w:rPr>
          <w:rFonts w:cs="Arial"/>
          <w:b/>
        </w:rPr>
        <w:t>11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0</w:t>
      </w:r>
      <w:r w:rsidRPr="004A450D">
        <w:rPr>
          <w:rFonts w:cs="Arial"/>
          <w:b/>
        </w:rPr>
        <w:t xml:space="preserve"> %</w:t>
      </w:r>
      <w:r w:rsidRPr="004A450D">
        <w:rPr>
          <w:rFonts w:cs="Arial"/>
        </w:rPr>
        <w:t xml:space="preserve">) </w:t>
      </w:r>
      <w:r w:rsidRPr="004A450D">
        <w:rPr>
          <w:rFonts w:cs="Arial"/>
          <w:b/>
        </w:rPr>
        <w:t xml:space="preserve">více </w:t>
      </w:r>
      <w:r w:rsidRPr="004A450D">
        <w:rPr>
          <w:rFonts w:cs="Arial"/>
        </w:rPr>
        <w:t>než ve srovnatelném období předchozího roku (viz tabulku č. 9 v příloze).</w:t>
      </w:r>
    </w:p>
    <w:p w:rsidR="000443AA" w:rsidRDefault="000443AA" w:rsidP="00257513">
      <w:pPr>
        <w:spacing w:after="240" w:line="360" w:lineRule="auto"/>
        <w:jc w:val="both"/>
        <w:rPr>
          <w:rFonts w:cs="Arial"/>
        </w:rPr>
      </w:pPr>
      <w:r w:rsidRPr="004A450D">
        <w:rPr>
          <w:rFonts w:cs="Arial"/>
        </w:rPr>
        <w:tab/>
        <w:t xml:space="preserve">Rozhodující dávkou bylo </w:t>
      </w:r>
      <w:r w:rsidRPr="004A450D">
        <w:rPr>
          <w:rFonts w:cs="Arial"/>
          <w:b/>
        </w:rPr>
        <w:t>nemocenské,</w:t>
      </w:r>
      <w:r w:rsidRPr="004A450D">
        <w:rPr>
          <w:rFonts w:cs="Arial"/>
        </w:rPr>
        <w:t xml:space="preserve"> jehož podíl na dávkách nemocenského pojištění činil 6</w:t>
      </w:r>
      <w:r>
        <w:rPr>
          <w:rFonts w:cs="Arial"/>
        </w:rPr>
        <w:t>5</w:t>
      </w:r>
      <w:r w:rsidRPr="004A450D">
        <w:rPr>
          <w:rFonts w:cs="Arial"/>
        </w:rPr>
        <w:t>,</w:t>
      </w:r>
      <w:r>
        <w:rPr>
          <w:rFonts w:cs="Arial"/>
        </w:rPr>
        <w:t>1 </w:t>
      </w:r>
      <w:r w:rsidRPr="004A450D">
        <w:rPr>
          <w:rFonts w:cs="Arial"/>
        </w:rPr>
        <w:t xml:space="preserve">% a jehož </w:t>
      </w:r>
      <w:r w:rsidRPr="004A450D">
        <w:rPr>
          <w:rFonts w:cs="Arial"/>
          <w:b/>
          <w:bCs/>
        </w:rPr>
        <w:t xml:space="preserve">objem se zvýšil </w:t>
      </w:r>
      <w:r w:rsidRPr="004A450D">
        <w:rPr>
          <w:rFonts w:cs="Arial"/>
          <w:bCs/>
        </w:rPr>
        <w:t>o</w:t>
      </w:r>
      <w:r w:rsidRPr="004A450D">
        <w:rPr>
          <w:rFonts w:cs="Arial"/>
          <w:b/>
          <w:bCs/>
        </w:rPr>
        <w:t xml:space="preserve"> </w:t>
      </w:r>
      <w:r w:rsidRPr="004A450D">
        <w:rPr>
          <w:rFonts w:cs="Arial"/>
          <w:bCs/>
        </w:rPr>
        <w:t>0,</w:t>
      </w:r>
      <w:r>
        <w:rPr>
          <w:rFonts w:cs="Arial"/>
          <w:bCs/>
        </w:rPr>
        <w:t>9 </w:t>
      </w:r>
      <w:r w:rsidRPr="004A450D">
        <w:rPr>
          <w:rFonts w:cs="Arial"/>
          <w:bCs/>
        </w:rPr>
        <w:t>mld.</w:t>
      </w:r>
      <w:r>
        <w:rPr>
          <w:rFonts w:cs="Arial"/>
          <w:bCs/>
        </w:rPr>
        <w:t> </w:t>
      </w:r>
      <w:r w:rsidRPr="004A450D">
        <w:rPr>
          <w:rFonts w:cs="Arial"/>
          <w:bCs/>
        </w:rPr>
        <w:t>Kč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</w:rPr>
        <w:t>(o 1</w:t>
      </w:r>
      <w:r>
        <w:rPr>
          <w:rFonts w:cs="Arial"/>
          <w:b/>
        </w:rPr>
        <w:t>3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0</w:t>
      </w:r>
      <w:r w:rsidRPr="004A450D">
        <w:rPr>
          <w:rFonts w:cs="Arial"/>
          <w:b/>
        </w:rPr>
        <w:t> %)</w:t>
      </w:r>
      <w:r w:rsidRPr="004A450D">
        <w:rPr>
          <w:rFonts w:cs="Arial"/>
        </w:rPr>
        <w:t xml:space="preserve"> na </w:t>
      </w:r>
      <w:r w:rsidRPr="004C340B">
        <w:rPr>
          <w:rFonts w:cs="Arial"/>
          <w:b/>
        </w:rPr>
        <w:t>8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0</w:t>
      </w:r>
      <w:r w:rsidRPr="004A450D">
        <w:rPr>
          <w:rFonts w:cs="Arial"/>
          <w:b/>
        </w:rPr>
        <w:t xml:space="preserve"> mld.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</w:rPr>
        <w:t xml:space="preserve">Kč </w:t>
      </w:r>
      <w:r w:rsidRPr="004A450D">
        <w:rPr>
          <w:rFonts w:cs="Arial"/>
        </w:rPr>
        <w:t>především v souvislosti s ukončením přechodného období (od 1. ledna 2011 do 31. prosince 2013), kdy zaměstnavatelé vyplácely náhradu mzdy po dobu až tří týdnů dočasné pracovní neschopnosti zaměstnance – od</w:t>
      </w:r>
      <w:r w:rsidR="00693F03">
        <w:rPr>
          <w:rFonts w:cs="Arial"/>
        </w:rPr>
        <w:t> </w:t>
      </w:r>
      <w:r w:rsidRPr="004A450D">
        <w:rPr>
          <w:rFonts w:cs="Arial"/>
        </w:rPr>
        <w:t>1. ledna 2014 náleží nemocenské již od 15. dne pracovní neschopnosti.</w:t>
      </w:r>
    </w:p>
    <w:p w:rsidR="000443AA" w:rsidRDefault="000443AA" w:rsidP="00257513">
      <w:pPr>
        <w:spacing w:after="240" w:line="360" w:lineRule="auto"/>
        <w:jc w:val="both"/>
        <w:rPr>
          <w:rFonts w:cs="Arial"/>
          <w:b/>
        </w:rPr>
      </w:pPr>
      <w:r w:rsidRPr="004A450D">
        <w:rPr>
          <w:rFonts w:cs="Arial"/>
          <w:color w:val="FF0000"/>
        </w:rPr>
        <w:tab/>
      </w:r>
      <w:r w:rsidRPr="004A450D">
        <w:rPr>
          <w:rFonts w:cs="Arial"/>
          <w:b/>
        </w:rPr>
        <w:t>Na peněžitou pomoc v mateřství</w:t>
      </w:r>
      <w:r w:rsidRPr="004A450D">
        <w:rPr>
          <w:rFonts w:cs="Arial"/>
        </w:rPr>
        <w:t xml:space="preserve"> bylo za leden až červen 201</w:t>
      </w:r>
      <w:r>
        <w:rPr>
          <w:rFonts w:cs="Arial"/>
        </w:rPr>
        <w:t>5</w:t>
      </w:r>
      <w:r w:rsidRPr="004A450D">
        <w:rPr>
          <w:rFonts w:cs="Arial"/>
        </w:rPr>
        <w:t xml:space="preserve"> vyplaceno </w:t>
      </w:r>
      <w:r w:rsidRPr="004A450D">
        <w:rPr>
          <w:rFonts w:cs="Arial"/>
          <w:b/>
        </w:rPr>
        <w:t>3,</w:t>
      </w:r>
      <w:r>
        <w:rPr>
          <w:rFonts w:cs="Arial"/>
          <w:b/>
        </w:rPr>
        <w:t>7</w:t>
      </w:r>
      <w:r w:rsidRPr="004A450D">
        <w:rPr>
          <w:rFonts w:cs="Arial"/>
          <w:b/>
        </w:rPr>
        <w:t xml:space="preserve"> mld. Kč</w:t>
      </w:r>
      <w:r w:rsidR="00693F03">
        <w:rPr>
          <w:rFonts w:cs="Arial"/>
          <w:b/>
        </w:rPr>
        <w:t>,</w:t>
      </w:r>
      <w:r w:rsidRPr="004A450D">
        <w:rPr>
          <w:rFonts w:cs="Arial"/>
        </w:rPr>
        <w:t xml:space="preserve"> tedy </w:t>
      </w:r>
      <w:r w:rsidRPr="004A450D">
        <w:rPr>
          <w:rFonts w:cs="Arial"/>
          <w:bCs/>
        </w:rPr>
        <w:t>o 1</w:t>
      </w:r>
      <w:r>
        <w:rPr>
          <w:rFonts w:cs="Arial"/>
          <w:bCs/>
        </w:rPr>
        <w:t>28</w:t>
      </w:r>
      <w:r w:rsidRPr="004A450D">
        <w:rPr>
          <w:rFonts w:cs="Arial"/>
          <w:bCs/>
        </w:rPr>
        <w:t>,</w:t>
      </w:r>
      <w:r>
        <w:rPr>
          <w:rFonts w:cs="Arial"/>
          <w:bCs/>
        </w:rPr>
        <w:t>0</w:t>
      </w:r>
      <w:r w:rsidRPr="004A450D">
        <w:rPr>
          <w:rFonts w:cs="Arial"/>
          <w:bCs/>
        </w:rPr>
        <w:t xml:space="preserve"> mil. Kč</w:t>
      </w:r>
      <w:r w:rsidRPr="004A450D">
        <w:rPr>
          <w:rFonts w:cs="Arial"/>
          <w:b/>
          <w:bCs/>
        </w:rPr>
        <w:t xml:space="preserve"> </w:t>
      </w:r>
      <w:r w:rsidRPr="004A450D">
        <w:rPr>
          <w:rFonts w:cs="Arial"/>
          <w:bCs/>
        </w:rPr>
        <w:t>(</w:t>
      </w:r>
      <w:r w:rsidRPr="004A450D">
        <w:rPr>
          <w:rFonts w:cs="Arial"/>
          <w:b/>
          <w:bCs/>
        </w:rPr>
        <w:t xml:space="preserve">o </w:t>
      </w:r>
      <w:r>
        <w:rPr>
          <w:rFonts w:cs="Arial"/>
          <w:b/>
          <w:bCs/>
        </w:rPr>
        <w:t>3</w:t>
      </w:r>
      <w:r w:rsidRPr="004A450D">
        <w:rPr>
          <w:rFonts w:cs="Arial"/>
          <w:b/>
          <w:bCs/>
        </w:rPr>
        <w:t>,</w:t>
      </w:r>
      <w:r>
        <w:rPr>
          <w:rFonts w:cs="Arial"/>
          <w:b/>
          <w:bCs/>
        </w:rPr>
        <w:t>6</w:t>
      </w:r>
      <w:r w:rsidRPr="004A450D">
        <w:rPr>
          <w:rFonts w:cs="Arial"/>
          <w:b/>
          <w:bCs/>
        </w:rPr>
        <w:t xml:space="preserve"> %</w:t>
      </w:r>
      <w:r w:rsidRPr="004A450D">
        <w:rPr>
          <w:rFonts w:cs="Arial"/>
          <w:bCs/>
        </w:rPr>
        <w:t>)</w:t>
      </w:r>
      <w:r w:rsidRPr="004A450D">
        <w:rPr>
          <w:rFonts w:cs="Arial"/>
        </w:rPr>
        <w:t xml:space="preserve"> meziročně </w:t>
      </w:r>
      <w:r w:rsidRPr="004C340B">
        <w:rPr>
          <w:rFonts w:cs="Arial"/>
          <w:b/>
        </w:rPr>
        <w:t>více</w:t>
      </w:r>
      <w:r>
        <w:rPr>
          <w:rFonts w:cs="Arial"/>
          <w:b/>
        </w:rPr>
        <w:t>.</w:t>
      </w:r>
    </w:p>
    <w:p w:rsidR="000443AA" w:rsidRDefault="000443AA" w:rsidP="00257513">
      <w:pPr>
        <w:spacing w:after="240"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</w:rPr>
        <w:tab/>
      </w:r>
      <w:r w:rsidRPr="004A450D">
        <w:rPr>
          <w:rFonts w:cs="Arial"/>
          <w:szCs w:val="24"/>
        </w:rPr>
        <w:t xml:space="preserve">Rovněž výdaje na </w:t>
      </w:r>
      <w:r w:rsidRPr="004A450D">
        <w:rPr>
          <w:rFonts w:cs="Arial"/>
          <w:b/>
          <w:bCs/>
          <w:szCs w:val="24"/>
        </w:rPr>
        <w:t xml:space="preserve">ošetřovné </w:t>
      </w:r>
      <w:r w:rsidRPr="004A450D">
        <w:rPr>
          <w:rFonts w:cs="Arial"/>
          <w:bCs/>
          <w:szCs w:val="24"/>
        </w:rPr>
        <w:t>se ve</w:t>
      </w:r>
      <w:r w:rsidRPr="004A450D">
        <w:rPr>
          <w:rFonts w:cs="Arial"/>
          <w:b/>
          <w:bCs/>
          <w:szCs w:val="24"/>
        </w:rPr>
        <w:t xml:space="preserve"> </w:t>
      </w:r>
      <w:r w:rsidRPr="004A450D">
        <w:rPr>
          <w:rFonts w:cs="Arial"/>
          <w:bCs/>
          <w:szCs w:val="24"/>
        </w:rPr>
        <w:t xml:space="preserve">sledovaném období </w:t>
      </w:r>
      <w:r>
        <w:rPr>
          <w:rFonts w:cs="Arial"/>
          <w:bCs/>
          <w:szCs w:val="24"/>
        </w:rPr>
        <w:t>zvýšily</w:t>
      </w:r>
      <w:r w:rsidRPr="004A450D">
        <w:rPr>
          <w:rFonts w:cs="Arial"/>
          <w:bCs/>
          <w:szCs w:val="24"/>
        </w:rPr>
        <w:t xml:space="preserve"> (</w:t>
      </w:r>
      <w:r w:rsidRPr="004A450D">
        <w:rPr>
          <w:rFonts w:cs="Arial"/>
          <w:b/>
          <w:bCs/>
          <w:szCs w:val="24"/>
        </w:rPr>
        <w:t>o </w:t>
      </w:r>
      <w:r>
        <w:rPr>
          <w:rFonts w:cs="Arial"/>
          <w:b/>
          <w:bCs/>
          <w:szCs w:val="24"/>
        </w:rPr>
        <w:t>37</w:t>
      </w:r>
      <w:r w:rsidRPr="004A450D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>0</w:t>
      </w:r>
      <w:r w:rsidRPr="004A450D">
        <w:rPr>
          <w:rFonts w:cs="Arial"/>
          <w:b/>
          <w:bCs/>
          <w:szCs w:val="24"/>
        </w:rPr>
        <w:t xml:space="preserve"> %</w:t>
      </w:r>
      <w:r>
        <w:rPr>
          <w:rFonts w:cs="Arial"/>
          <w:b/>
          <w:bCs/>
          <w:szCs w:val="24"/>
        </w:rPr>
        <w:t>,</w:t>
      </w:r>
      <w:r w:rsidRPr="004A450D">
        <w:rPr>
          <w:rFonts w:cs="Arial"/>
          <w:bCs/>
          <w:szCs w:val="24"/>
        </w:rPr>
        <w:t xml:space="preserve"> tj. o </w:t>
      </w:r>
      <w:r>
        <w:rPr>
          <w:rFonts w:cs="Arial"/>
          <w:bCs/>
          <w:szCs w:val="24"/>
        </w:rPr>
        <w:t>170,8</w:t>
      </w:r>
      <w:r w:rsidRPr="004A450D">
        <w:rPr>
          <w:rFonts w:cs="Arial"/>
          <w:bCs/>
          <w:szCs w:val="24"/>
        </w:rPr>
        <w:t xml:space="preserve"> mil. Kč) a činily </w:t>
      </w:r>
      <w:r w:rsidRPr="004A450D">
        <w:rPr>
          <w:rFonts w:cs="Arial"/>
          <w:b/>
          <w:bCs/>
          <w:szCs w:val="24"/>
        </w:rPr>
        <w:t>0,</w:t>
      </w:r>
      <w:r w:rsidR="00952E14">
        <w:rPr>
          <w:rFonts w:cs="Arial"/>
          <w:b/>
          <w:bCs/>
          <w:szCs w:val="24"/>
        </w:rPr>
        <w:t>6</w:t>
      </w:r>
      <w:r w:rsidRPr="004A450D">
        <w:rPr>
          <w:rFonts w:cs="Arial"/>
          <w:b/>
          <w:bCs/>
          <w:szCs w:val="24"/>
        </w:rPr>
        <w:t xml:space="preserve"> mld. Kč</w:t>
      </w:r>
      <w:r>
        <w:rPr>
          <w:rFonts w:cs="Arial"/>
          <w:b/>
          <w:bCs/>
          <w:szCs w:val="24"/>
        </w:rPr>
        <w:t>.</w:t>
      </w:r>
    </w:p>
    <w:p w:rsidR="000443AA" w:rsidRDefault="000443AA" w:rsidP="000443AA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ab/>
      </w:r>
      <w:r w:rsidRPr="004A450D">
        <w:rPr>
          <w:rFonts w:cs="Arial"/>
          <w:szCs w:val="24"/>
        </w:rPr>
        <w:t xml:space="preserve">Na </w:t>
      </w:r>
      <w:r w:rsidRPr="004A450D">
        <w:rPr>
          <w:rFonts w:cs="Arial"/>
          <w:b/>
          <w:szCs w:val="24"/>
        </w:rPr>
        <w:t xml:space="preserve">vyrovnávacím příspěvku v těhotenství a mateřství </w:t>
      </w:r>
      <w:r w:rsidRPr="004A450D">
        <w:rPr>
          <w:rFonts w:cs="Arial"/>
          <w:szCs w:val="24"/>
        </w:rPr>
        <w:t>(jehož výše je zanedbatelná a nemá vliv na celkový vývoj dávek nemocenského pojištění)</w:t>
      </w:r>
      <w:r w:rsidRPr="004A450D">
        <w:rPr>
          <w:rFonts w:cs="Arial"/>
          <w:b/>
          <w:szCs w:val="24"/>
        </w:rPr>
        <w:t xml:space="preserve"> </w:t>
      </w:r>
      <w:r w:rsidRPr="004A450D">
        <w:rPr>
          <w:rFonts w:cs="Arial"/>
          <w:szCs w:val="24"/>
        </w:rPr>
        <w:t>bylo vyplaceno 4,</w:t>
      </w:r>
      <w:r>
        <w:rPr>
          <w:rFonts w:cs="Arial"/>
          <w:szCs w:val="24"/>
        </w:rPr>
        <w:t>5</w:t>
      </w:r>
      <w:r w:rsidRPr="004A450D">
        <w:rPr>
          <w:rFonts w:cs="Arial"/>
          <w:szCs w:val="24"/>
        </w:rPr>
        <w:t> mil. Kč (</w:t>
      </w:r>
      <w:r>
        <w:rPr>
          <w:rFonts w:cs="Arial"/>
          <w:b/>
          <w:szCs w:val="24"/>
        </w:rPr>
        <w:t>zvýšení o 9</w:t>
      </w:r>
      <w:r w:rsidRPr="004A450D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>8</w:t>
      </w:r>
      <w:r w:rsidRPr="004A450D">
        <w:rPr>
          <w:rFonts w:cs="Arial"/>
          <w:b/>
          <w:szCs w:val="24"/>
        </w:rPr>
        <w:t xml:space="preserve"> %</w:t>
      </w:r>
      <w:r w:rsidRPr="004A450D">
        <w:rPr>
          <w:rFonts w:cs="Arial"/>
          <w:szCs w:val="24"/>
        </w:rPr>
        <w:t>), viz tabulku č. 16 v příloze.</w:t>
      </w:r>
    </w:p>
    <w:p w:rsidR="000443AA" w:rsidRDefault="000443AA" w:rsidP="001F5BEA">
      <w:pPr>
        <w:spacing w:line="276" w:lineRule="auto"/>
        <w:jc w:val="both"/>
        <w:rPr>
          <w:rFonts w:cs="Arial"/>
          <w:szCs w:val="24"/>
        </w:rPr>
      </w:pPr>
    </w:p>
    <w:p w:rsidR="000443AA" w:rsidRDefault="000443AA" w:rsidP="001F5BEA">
      <w:pPr>
        <w:spacing w:line="276" w:lineRule="auto"/>
        <w:jc w:val="both"/>
        <w:rPr>
          <w:rFonts w:cs="Arial"/>
          <w:szCs w:val="24"/>
        </w:rPr>
      </w:pPr>
    </w:p>
    <w:p w:rsidR="000443AA" w:rsidRDefault="000443AA" w:rsidP="00257513">
      <w:pPr>
        <w:spacing w:after="240" w:line="360" w:lineRule="auto"/>
        <w:jc w:val="both"/>
        <w:rPr>
          <w:rFonts w:cs="Arial"/>
        </w:rPr>
      </w:pPr>
      <w:r>
        <w:rPr>
          <w:rFonts w:cs="Arial"/>
          <w:szCs w:val="24"/>
        </w:rPr>
        <w:tab/>
      </w:r>
      <w:r w:rsidRPr="004A450D">
        <w:rPr>
          <w:rFonts w:cs="Arial"/>
        </w:rPr>
        <w:t xml:space="preserve">Další významnou složkou sociálních příjmů domácností je </w:t>
      </w:r>
      <w:r w:rsidRPr="004A450D">
        <w:rPr>
          <w:rFonts w:cs="Arial"/>
          <w:b/>
          <w:u w:val="single"/>
        </w:rPr>
        <w:t>příspěvek na péč</w:t>
      </w:r>
      <w:r w:rsidRPr="00693F03">
        <w:rPr>
          <w:rFonts w:cs="Arial"/>
          <w:b/>
          <w:u w:val="single"/>
        </w:rPr>
        <w:t>i.</w:t>
      </w:r>
      <w:r w:rsidRPr="004A450D">
        <w:rPr>
          <w:rFonts w:cs="Arial"/>
          <w:b/>
        </w:rPr>
        <w:t xml:space="preserve"> </w:t>
      </w:r>
      <w:r w:rsidRPr="004A450D">
        <w:rPr>
          <w:rFonts w:cs="Arial"/>
        </w:rPr>
        <w:t xml:space="preserve">V hodnoceném období bylo takto vyplaceno </w:t>
      </w:r>
      <w:r w:rsidRPr="004A450D">
        <w:rPr>
          <w:rFonts w:cs="Arial"/>
          <w:b/>
        </w:rPr>
        <w:t>10,</w:t>
      </w:r>
      <w:r>
        <w:rPr>
          <w:rFonts w:cs="Arial"/>
          <w:b/>
        </w:rPr>
        <w:t>5 </w:t>
      </w:r>
      <w:r w:rsidRPr="004A450D">
        <w:rPr>
          <w:rFonts w:cs="Arial"/>
          <w:b/>
        </w:rPr>
        <w:t>mld.</w:t>
      </w:r>
      <w:r>
        <w:rPr>
          <w:rFonts w:cs="Arial"/>
          <w:b/>
        </w:rPr>
        <w:t> </w:t>
      </w:r>
      <w:r w:rsidRPr="004A450D">
        <w:rPr>
          <w:rFonts w:cs="Arial"/>
          <w:b/>
        </w:rPr>
        <w:t>Kč</w:t>
      </w:r>
      <w:r>
        <w:rPr>
          <w:rFonts w:cs="Arial"/>
          <w:b/>
        </w:rPr>
        <w:t>,</w:t>
      </w:r>
      <w:r w:rsidRPr="004A450D">
        <w:rPr>
          <w:rFonts w:cs="Arial"/>
        </w:rPr>
        <w:t xml:space="preserve"> což bylo </w:t>
      </w:r>
      <w:r w:rsidRPr="004A450D">
        <w:rPr>
          <w:rFonts w:cs="Arial"/>
          <w:b/>
        </w:rPr>
        <w:t>o 4,</w:t>
      </w:r>
      <w:r>
        <w:rPr>
          <w:rFonts w:cs="Arial"/>
          <w:b/>
        </w:rPr>
        <w:t>3</w:t>
      </w:r>
      <w:r w:rsidRPr="004A450D">
        <w:rPr>
          <w:rFonts w:cs="Arial"/>
          <w:b/>
        </w:rPr>
        <w:t> %</w:t>
      </w:r>
      <w:r w:rsidRPr="004A450D">
        <w:rPr>
          <w:rFonts w:cs="Arial"/>
        </w:rPr>
        <w:t xml:space="preserve"> (0,</w:t>
      </w:r>
      <w:r>
        <w:rPr>
          <w:rFonts w:cs="Arial"/>
        </w:rPr>
        <w:t>4</w:t>
      </w:r>
      <w:r w:rsidRPr="004A450D">
        <w:rPr>
          <w:rFonts w:cs="Arial"/>
        </w:rPr>
        <w:t xml:space="preserve"> mld. Kč) meziročně </w:t>
      </w:r>
      <w:r w:rsidRPr="004A450D">
        <w:rPr>
          <w:rFonts w:cs="Arial"/>
          <w:b/>
        </w:rPr>
        <w:t>více</w:t>
      </w:r>
      <w:r>
        <w:rPr>
          <w:rFonts w:cs="Arial"/>
          <w:b/>
        </w:rPr>
        <w:t xml:space="preserve"> </w:t>
      </w:r>
      <w:r w:rsidR="00693F03">
        <w:rPr>
          <w:rFonts w:cs="Arial"/>
        </w:rPr>
        <w:t>–</w:t>
      </w:r>
      <w:r>
        <w:rPr>
          <w:rFonts w:cs="Arial"/>
          <w:b/>
        </w:rPr>
        <w:t xml:space="preserve"> </w:t>
      </w:r>
      <w:r>
        <w:rPr>
          <w:rFonts w:cs="Arial"/>
        </w:rPr>
        <w:t>viz tab</w:t>
      </w:r>
      <w:r w:rsidR="00693F03">
        <w:rPr>
          <w:rFonts w:cs="Arial"/>
        </w:rPr>
        <w:t>ulku č.</w:t>
      </w:r>
      <w:r>
        <w:rPr>
          <w:rFonts w:cs="Arial"/>
        </w:rPr>
        <w:t xml:space="preserve"> 17</w:t>
      </w:r>
      <w:r w:rsidRPr="001C01A8">
        <w:rPr>
          <w:rFonts w:cs="Arial"/>
        </w:rPr>
        <w:t>.</w:t>
      </w:r>
    </w:p>
    <w:p w:rsidR="000443AA" w:rsidRDefault="000443AA" w:rsidP="00257513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ab/>
        <w:t>V 1. pololetí 2015 bylo v průměru měsíčně vyplaceno cca 335,7 tis</w:t>
      </w:r>
      <w:r w:rsidR="000F58DB">
        <w:rPr>
          <w:rFonts w:cs="Arial"/>
        </w:rPr>
        <w:t>.</w:t>
      </w:r>
      <w:r>
        <w:rPr>
          <w:rFonts w:cs="Arial"/>
        </w:rPr>
        <w:t xml:space="preserve"> příspěvků na péči, </w:t>
      </w:r>
      <w:r w:rsidRPr="00CC2C2C">
        <w:rPr>
          <w:rFonts w:cs="Arial"/>
        </w:rPr>
        <w:t xml:space="preserve">tj. o 4,6 </w:t>
      </w:r>
      <w:r w:rsidR="00693F03" w:rsidRPr="00CC2C2C">
        <w:rPr>
          <w:rFonts w:cs="Arial"/>
        </w:rPr>
        <w:t xml:space="preserve">tis. </w:t>
      </w:r>
      <w:r w:rsidRPr="00CC2C2C">
        <w:rPr>
          <w:rFonts w:cs="Arial"/>
        </w:rPr>
        <w:t xml:space="preserve">příspěvků </w:t>
      </w:r>
      <w:r>
        <w:rPr>
          <w:rFonts w:cs="Arial"/>
        </w:rPr>
        <w:t>meziročně více. Z celkového počtu dávek se vyplatilo 32,6 % v I. stupni závislosti, 32,7</w:t>
      </w:r>
      <w:r w:rsidR="00CC2C2C">
        <w:rPr>
          <w:rFonts w:cs="Arial"/>
        </w:rPr>
        <w:t> </w:t>
      </w:r>
      <w:r>
        <w:rPr>
          <w:rFonts w:cs="Arial"/>
        </w:rPr>
        <w:t>% ve II. stupni závislosti, 22,1</w:t>
      </w:r>
      <w:r w:rsidR="00CC2C2C">
        <w:rPr>
          <w:rFonts w:cs="Arial"/>
        </w:rPr>
        <w:t> </w:t>
      </w:r>
      <w:r>
        <w:rPr>
          <w:rFonts w:cs="Arial"/>
        </w:rPr>
        <w:t>% ve III. stupni závislosti a 12,6</w:t>
      </w:r>
      <w:r w:rsidR="00CC2C2C">
        <w:rPr>
          <w:rFonts w:cs="Arial"/>
        </w:rPr>
        <w:t> </w:t>
      </w:r>
      <w:r>
        <w:rPr>
          <w:rFonts w:cs="Arial"/>
        </w:rPr>
        <w:t>% ve IV. stupni závislosti. Z hlediska věkové struktury bylo cca 8,5 % příspěvků vyplaceno osobám do osmnácti let věku, osobám ve věku 18</w:t>
      </w:r>
      <w:r w:rsidR="00CC2C2C">
        <w:rPr>
          <w:rFonts w:cs="Arial"/>
        </w:rPr>
        <w:t> </w:t>
      </w:r>
      <w:r>
        <w:rPr>
          <w:rFonts w:cs="Arial"/>
        </w:rPr>
        <w:t>až</w:t>
      </w:r>
      <w:r w:rsidR="00CC2C2C">
        <w:rPr>
          <w:rFonts w:cs="Arial"/>
        </w:rPr>
        <w:t> </w:t>
      </w:r>
      <w:r>
        <w:rPr>
          <w:rFonts w:cs="Arial"/>
        </w:rPr>
        <w:t>59 let cca 18,4</w:t>
      </w:r>
      <w:r w:rsidR="00CC2C2C">
        <w:rPr>
          <w:rFonts w:cs="Arial"/>
        </w:rPr>
        <w:t> </w:t>
      </w:r>
      <w:r>
        <w:rPr>
          <w:rFonts w:cs="Arial"/>
        </w:rPr>
        <w:t>% příspěvků, osobám ve věku 60</w:t>
      </w:r>
      <w:r w:rsidR="00CC2C2C">
        <w:rPr>
          <w:rFonts w:cs="Arial"/>
        </w:rPr>
        <w:t> </w:t>
      </w:r>
      <w:r>
        <w:rPr>
          <w:rFonts w:cs="Arial"/>
        </w:rPr>
        <w:t>–</w:t>
      </w:r>
      <w:r w:rsidR="00CC2C2C">
        <w:rPr>
          <w:rFonts w:cs="Arial"/>
        </w:rPr>
        <w:t> </w:t>
      </w:r>
      <w:r>
        <w:rPr>
          <w:rFonts w:cs="Arial"/>
        </w:rPr>
        <w:t>79 let 30,0</w:t>
      </w:r>
      <w:r w:rsidR="00CC2C2C">
        <w:rPr>
          <w:rFonts w:cs="Arial"/>
        </w:rPr>
        <w:t> </w:t>
      </w:r>
      <w:r>
        <w:rPr>
          <w:rFonts w:cs="Arial"/>
        </w:rPr>
        <w:t>% příspěvků a</w:t>
      </w:r>
      <w:r w:rsidR="00CC2C2C">
        <w:rPr>
          <w:rFonts w:cs="Arial"/>
        </w:rPr>
        <w:t> </w:t>
      </w:r>
      <w:r>
        <w:rPr>
          <w:rFonts w:cs="Arial"/>
        </w:rPr>
        <w:t>osobám starším osmdesáti let 43,1</w:t>
      </w:r>
      <w:r w:rsidR="00CC2C2C">
        <w:rPr>
          <w:rFonts w:cs="Arial"/>
        </w:rPr>
        <w:t> </w:t>
      </w:r>
      <w:r>
        <w:rPr>
          <w:rFonts w:cs="Arial"/>
        </w:rPr>
        <w:t>% příspěvků.</w:t>
      </w:r>
    </w:p>
    <w:p w:rsidR="000443AA" w:rsidRDefault="00CC2C2C" w:rsidP="00257513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ab/>
      </w:r>
      <w:r w:rsidR="000443AA" w:rsidRPr="004A450D">
        <w:rPr>
          <w:rFonts w:cs="Arial"/>
        </w:rPr>
        <w:t xml:space="preserve">Prostředky vyplacené formou </w:t>
      </w:r>
      <w:r w:rsidR="000443AA" w:rsidRPr="004A450D">
        <w:rPr>
          <w:rFonts w:cs="Arial"/>
          <w:b/>
          <w:u w:val="single"/>
        </w:rPr>
        <w:t>podpory v nezaměstnanosti</w:t>
      </w:r>
      <w:r w:rsidR="000443AA" w:rsidRPr="004A450D">
        <w:rPr>
          <w:rFonts w:cs="Arial"/>
          <w:b/>
        </w:rPr>
        <w:t xml:space="preserve"> </w:t>
      </w:r>
      <w:r w:rsidR="000443AA" w:rsidRPr="00515177">
        <w:rPr>
          <w:rFonts w:cs="Arial"/>
        </w:rPr>
        <w:t>se</w:t>
      </w:r>
      <w:r w:rsidR="000443AA">
        <w:rPr>
          <w:rFonts w:cs="Arial"/>
        </w:rPr>
        <w:t xml:space="preserve"> </w:t>
      </w:r>
      <w:r w:rsidR="000443AA" w:rsidRPr="004A450D">
        <w:rPr>
          <w:rFonts w:cs="Arial"/>
        </w:rPr>
        <w:t>podíle</w:t>
      </w:r>
      <w:r w:rsidR="000443AA">
        <w:rPr>
          <w:rFonts w:cs="Arial"/>
        </w:rPr>
        <w:t>ly</w:t>
      </w:r>
      <w:r w:rsidR="000443AA" w:rsidRPr="004A450D">
        <w:rPr>
          <w:rFonts w:cs="Arial"/>
        </w:rPr>
        <w:t xml:space="preserve"> na celkových sociálních příjmech </w:t>
      </w:r>
      <w:r w:rsidR="000443AA">
        <w:rPr>
          <w:rFonts w:cs="Arial"/>
        </w:rPr>
        <w:t>domácností 2,0 %</w:t>
      </w:r>
      <w:r w:rsidR="000443AA" w:rsidRPr="004A450D">
        <w:rPr>
          <w:rFonts w:cs="Arial"/>
        </w:rPr>
        <w:t>.  V lednu – červnu 201</w:t>
      </w:r>
      <w:r w:rsidR="000443AA">
        <w:rPr>
          <w:rFonts w:cs="Arial"/>
        </w:rPr>
        <w:t>5</w:t>
      </w:r>
      <w:r w:rsidR="000443AA" w:rsidRPr="004A450D">
        <w:rPr>
          <w:rFonts w:cs="Arial"/>
        </w:rPr>
        <w:t xml:space="preserve"> na ně bylo vyčerpáno </w:t>
      </w:r>
      <w:r w:rsidR="000443AA" w:rsidRPr="00515177">
        <w:rPr>
          <w:rFonts w:cs="Arial"/>
          <w:b/>
        </w:rPr>
        <w:t>4,6</w:t>
      </w:r>
      <w:r w:rsidR="000443AA">
        <w:rPr>
          <w:rFonts w:cs="Arial"/>
          <w:b/>
        </w:rPr>
        <w:t> </w:t>
      </w:r>
      <w:r w:rsidR="000443AA" w:rsidRPr="004A450D">
        <w:rPr>
          <w:rFonts w:cs="Arial"/>
          <w:b/>
        </w:rPr>
        <w:t>mld.</w:t>
      </w:r>
      <w:r w:rsidR="000443AA">
        <w:rPr>
          <w:rFonts w:cs="Arial"/>
          <w:b/>
        </w:rPr>
        <w:t> </w:t>
      </w:r>
      <w:r w:rsidR="000443AA" w:rsidRPr="004A450D">
        <w:rPr>
          <w:rFonts w:cs="Arial"/>
          <w:b/>
        </w:rPr>
        <w:t>Kč</w:t>
      </w:r>
      <w:r w:rsidR="000443AA" w:rsidRPr="004A450D">
        <w:rPr>
          <w:rFonts w:cs="Arial"/>
        </w:rPr>
        <w:t xml:space="preserve"> při meziročním </w:t>
      </w:r>
      <w:r w:rsidR="000443AA" w:rsidRPr="004A450D">
        <w:rPr>
          <w:rFonts w:cs="Arial"/>
          <w:b/>
        </w:rPr>
        <w:t>poklesu</w:t>
      </w:r>
      <w:r w:rsidR="000443AA" w:rsidRPr="004A450D">
        <w:rPr>
          <w:rFonts w:cs="Arial"/>
        </w:rPr>
        <w:t xml:space="preserve"> </w:t>
      </w:r>
      <w:r w:rsidR="000443AA" w:rsidRPr="004A450D">
        <w:rPr>
          <w:rFonts w:cs="Arial"/>
          <w:b/>
        </w:rPr>
        <w:t>o 1</w:t>
      </w:r>
      <w:r w:rsidR="000443AA">
        <w:rPr>
          <w:rFonts w:cs="Arial"/>
          <w:b/>
        </w:rPr>
        <w:t>2</w:t>
      </w:r>
      <w:r w:rsidR="000443AA" w:rsidRPr="004A450D">
        <w:rPr>
          <w:rFonts w:cs="Arial"/>
          <w:b/>
        </w:rPr>
        <w:t>,</w:t>
      </w:r>
      <w:r w:rsidR="000443AA">
        <w:rPr>
          <w:rFonts w:cs="Arial"/>
          <w:b/>
        </w:rPr>
        <w:t>4 </w:t>
      </w:r>
      <w:r w:rsidR="000443AA" w:rsidRPr="004A450D">
        <w:rPr>
          <w:rFonts w:cs="Arial"/>
          <w:b/>
        </w:rPr>
        <w:t>%</w:t>
      </w:r>
      <w:r w:rsidR="000443AA" w:rsidRPr="004A450D">
        <w:rPr>
          <w:rFonts w:cs="Arial"/>
        </w:rPr>
        <w:t xml:space="preserve"> (</w:t>
      </w:r>
      <w:r w:rsidR="000443AA" w:rsidRPr="004A450D">
        <w:rPr>
          <w:rFonts w:cs="Arial"/>
          <w:b/>
        </w:rPr>
        <w:t>o </w:t>
      </w:r>
      <w:r w:rsidR="000443AA">
        <w:rPr>
          <w:rFonts w:cs="Arial"/>
          <w:b/>
        </w:rPr>
        <w:t>653,</w:t>
      </w:r>
      <w:r w:rsidR="000443AA" w:rsidRPr="004A450D">
        <w:rPr>
          <w:rFonts w:cs="Arial"/>
          <w:b/>
        </w:rPr>
        <w:t>7 mil. Kč</w:t>
      </w:r>
      <w:r w:rsidR="000443AA" w:rsidRPr="004A450D">
        <w:rPr>
          <w:rFonts w:cs="Arial"/>
        </w:rPr>
        <w:t>)</w:t>
      </w:r>
      <w:r w:rsidR="00B54712">
        <w:rPr>
          <w:rFonts w:cs="Arial"/>
        </w:rPr>
        <w:t xml:space="preserve"> – viz</w:t>
      </w:r>
      <w:r w:rsidR="00C91C50">
        <w:rPr>
          <w:rFonts w:cs="Arial"/>
        </w:rPr>
        <w:t> </w:t>
      </w:r>
      <w:r w:rsidR="00B54712">
        <w:rPr>
          <w:rFonts w:cs="Arial"/>
        </w:rPr>
        <w:t>tabulku č. 9.</w:t>
      </w:r>
    </w:p>
    <w:p w:rsidR="000443AA" w:rsidRDefault="00CC2C2C" w:rsidP="00257513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ab/>
      </w:r>
      <w:r w:rsidR="000443AA" w:rsidRPr="004A450D">
        <w:rPr>
          <w:rFonts w:cs="Arial"/>
        </w:rPr>
        <w:t xml:space="preserve">V uvedeném období </w:t>
      </w:r>
      <w:r>
        <w:rPr>
          <w:rFonts w:cs="Arial"/>
        </w:rPr>
        <w:t>klesl</w:t>
      </w:r>
      <w:r w:rsidR="000443AA" w:rsidRPr="004A450D">
        <w:rPr>
          <w:rFonts w:cs="Arial"/>
        </w:rPr>
        <w:t xml:space="preserve"> </w:t>
      </w:r>
      <w:r w:rsidR="000443AA" w:rsidRPr="004A450D">
        <w:rPr>
          <w:rFonts w:cs="Arial"/>
          <w:b/>
        </w:rPr>
        <w:t>průměrný podíl nezaměstnaných osob</w:t>
      </w:r>
      <w:r w:rsidR="000443AA" w:rsidRPr="004A450D">
        <w:rPr>
          <w:rFonts w:cs="Arial"/>
        </w:rPr>
        <w:t xml:space="preserve"> z </w:t>
      </w:r>
      <w:r w:rsidR="000443AA">
        <w:rPr>
          <w:rFonts w:cs="Arial"/>
        </w:rPr>
        <w:t>8</w:t>
      </w:r>
      <w:r w:rsidR="000443AA" w:rsidRPr="004A450D">
        <w:rPr>
          <w:rFonts w:cs="Arial"/>
        </w:rPr>
        <w:t>,</w:t>
      </w:r>
      <w:r w:rsidR="000443AA">
        <w:rPr>
          <w:rFonts w:cs="Arial"/>
        </w:rPr>
        <w:t>1</w:t>
      </w:r>
      <w:r>
        <w:rPr>
          <w:rFonts w:cs="Arial"/>
        </w:rPr>
        <w:t> %</w:t>
      </w:r>
      <w:r w:rsidR="00706F4C">
        <w:rPr>
          <w:rFonts w:cs="Arial"/>
        </w:rPr>
        <w:t> </w:t>
      </w:r>
      <w:r w:rsidR="000443AA" w:rsidRPr="004A450D">
        <w:rPr>
          <w:rFonts w:cs="Arial"/>
        </w:rPr>
        <w:t>na</w:t>
      </w:r>
      <w:r>
        <w:rPr>
          <w:rFonts w:cs="Arial"/>
        </w:rPr>
        <w:t> </w:t>
      </w:r>
      <w:r w:rsidR="000443AA" w:rsidRPr="006B3C1F">
        <w:rPr>
          <w:rFonts w:cs="Arial"/>
          <w:b/>
        </w:rPr>
        <w:t>7</w:t>
      </w:r>
      <w:r w:rsidR="000443AA" w:rsidRPr="004A450D">
        <w:rPr>
          <w:rFonts w:cs="Arial"/>
          <w:b/>
        </w:rPr>
        <w:t>,1</w:t>
      </w:r>
      <w:r>
        <w:rPr>
          <w:rFonts w:cs="Arial"/>
          <w:b/>
        </w:rPr>
        <w:t> </w:t>
      </w:r>
      <w:r w:rsidR="000443AA" w:rsidRPr="004A450D">
        <w:rPr>
          <w:rFonts w:cs="Arial"/>
          <w:b/>
        </w:rPr>
        <w:t>%</w:t>
      </w:r>
      <w:r w:rsidR="00706F4C">
        <w:rPr>
          <w:rFonts w:cs="Arial"/>
          <w:b/>
        </w:rPr>
        <w:t>,</w:t>
      </w:r>
      <w:r w:rsidR="000443AA" w:rsidRPr="004A450D">
        <w:rPr>
          <w:rFonts w:cs="Arial"/>
        </w:rPr>
        <w:t xml:space="preserve"> tj. o </w:t>
      </w:r>
      <w:r w:rsidR="000443AA">
        <w:rPr>
          <w:rFonts w:cs="Arial"/>
        </w:rPr>
        <w:t>1</w:t>
      </w:r>
      <w:r w:rsidR="000443AA" w:rsidRPr="004A450D">
        <w:rPr>
          <w:rFonts w:cs="Arial"/>
        </w:rPr>
        <w:t>,</w:t>
      </w:r>
      <w:r w:rsidR="000443AA">
        <w:rPr>
          <w:rFonts w:cs="Arial"/>
        </w:rPr>
        <w:t>0</w:t>
      </w:r>
      <w:r w:rsidR="000443AA" w:rsidRPr="004A450D">
        <w:rPr>
          <w:rFonts w:cs="Arial"/>
        </w:rPr>
        <w:t> p.</w:t>
      </w:r>
      <w:r w:rsidR="000443AA">
        <w:rPr>
          <w:rFonts w:cs="Arial"/>
        </w:rPr>
        <w:t> </w:t>
      </w:r>
      <w:r w:rsidR="000443AA" w:rsidRPr="004A450D">
        <w:rPr>
          <w:rFonts w:cs="Arial"/>
        </w:rPr>
        <w:t xml:space="preserve">b. Průměrný počet evidovaných nezaměstnaných </w:t>
      </w:r>
      <w:r w:rsidR="000443AA" w:rsidRPr="00CC2C2C">
        <w:rPr>
          <w:rFonts w:cs="Arial"/>
        </w:rPr>
        <w:t>se</w:t>
      </w:r>
      <w:r w:rsidR="00706F4C">
        <w:rPr>
          <w:rFonts w:cs="Arial"/>
        </w:rPr>
        <w:t> </w:t>
      </w:r>
      <w:r w:rsidR="000443AA" w:rsidRPr="00CC2C2C">
        <w:rPr>
          <w:rFonts w:cs="Arial"/>
        </w:rPr>
        <w:t>snížil</w:t>
      </w:r>
      <w:r w:rsidR="00706F4C">
        <w:rPr>
          <w:rFonts w:cs="Arial"/>
        </w:rPr>
        <w:t> </w:t>
      </w:r>
      <w:r w:rsidR="000443AA" w:rsidRPr="004A450D">
        <w:rPr>
          <w:rFonts w:cs="Arial"/>
        </w:rPr>
        <w:t>o </w:t>
      </w:r>
      <w:r w:rsidR="000443AA">
        <w:rPr>
          <w:rFonts w:cs="Arial"/>
        </w:rPr>
        <w:t>81</w:t>
      </w:r>
      <w:r w:rsidR="000443AA" w:rsidRPr="004A450D">
        <w:rPr>
          <w:rFonts w:cs="Arial"/>
        </w:rPr>
        <w:t>,</w:t>
      </w:r>
      <w:r w:rsidR="000443AA">
        <w:rPr>
          <w:rFonts w:cs="Arial"/>
        </w:rPr>
        <w:t>6</w:t>
      </w:r>
      <w:r w:rsidR="000443AA" w:rsidRPr="004A450D">
        <w:rPr>
          <w:rFonts w:cs="Arial"/>
        </w:rPr>
        <w:t> tis. (</w:t>
      </w:r>
      <w:r w:rsidR="000443AA">
        <w:rPr>
          <w:rFonts w:cs="Arial"/>
        </w:rPr>
        <w:t>1</w:t>
      </w:r>
      <w:r w:rsidR="000443AA" w:rsidRPr="004A450D">
        <w:rPr>
          <w:rFonts w:cs="Arial"/>
        </w:rPr>
        <w:t>3,8 %) na 5</w:t>
      </w:r>
      <w:r w:rsidR="000443AA">
        <w:rPr>
          <w:rFonts w:cs="Arial"/>
        </w:rPr>
        <w:t>10</w:t>
      </w:r>
      <w:r w:rsidR="000443AA" w:rsidRPr="004A450D">
        <w:rPr>
          <w:rFonts w:cs="Arial"/>
        </w:rPr>
        <w:t>,</w:t>
      </w:r>
      <w:r w:rsidR="000443AA">
        <w:rPr>
          <w:rFonts w:cs="Arial"/>
        </w:rPr>
        <w:t>9</w:t>
      </w:r>
      <w:r w:rsidR="00706F4C">
        <w:rPr>
          <w:rFonts w:cs="Arial"/>
        </w:rPr>
        <w:t> </w:t>
      </w:r>
      <w:r w:rsidR="000443AA" w:rsidRPr="004A450D">
        <w:rPr>
          <w:rFonts w:cs="Arial"/>
        </w:rPr>
        <w:t xml:space="preserve">tis., přičemž průměrný počet evidovaných nezaměstnaných </w:t>
      </w:r>
      <w:r w:rsidR="000443AA" w:rsidRPr="004A450D">
        <w:rPr>
          <w:rFonts w:cs="Arial"/>
          <w:b/>
        </w:rPr>
        <w:t>s nárokem na podporu</w:t>
      </w:r>
      <w:r w:rsidR="000443AA" w:rsidRPr="004A450D">
        <w:rPr>
          <w:rFonts w:cs="Arial"/>
        </w:rPr>
        <w:t xml:space="preserve"> v nezaměstnanosti </w:t>
      </w:r>
      <w:r w:rsidR="000443AA">
        <w:rPr>
          <w:rFonts w:cs="Arial"/>
        </w:rPr>
        <w:t>klesl</w:t>
      </w:r>
      <w:r w:rsidR="000443AA" w:rsidRPr="004A450D">
        <w:rPr>
          <w:rFonts w:cs="Arial"/>
        </w:rPr>
        <w:t xml:space="preserve"> na </w:t>
      </w:r>
      <w:r w:rsidR="000443AA" w:rsidRPr="004A450D">
        <w:rPr>
          <w:rFonts w:cs="Arial"/>
          <w:b/>
        </w:rPr>
        <w:t>1</w:t>
      </w:r>
      <w:r w:rsidR="000443AA">
        <w:rPr>
          <w:rFonts w:cs="Arial"/>
          <w:b/>
        </w:rPr>
        <w:t>11</w:t>
      </w:r>
      <w:r w:rsidR="000443AA" w:rsidRPr="004A450D">
        <w:rPr>
          <w:rFonts w:cs="Arial"/>
          <w:b/>
        </w:rPr>
        <w:t>,</w:t>
      </w:r>
      <w:r w:rsidR="000443AA">
        <w:rPr>
          <w:rFonts w:cs="Arial"/>
          <w:b/>
        </w:rPr>
        <w:t>2 </w:t>
      </w:r>
      <w:r w:rsidR="000443AA" w:rsidRPr="004A450D">
        <w:rPr>
          <w:rFonts w:cs="Arial"/>
          <w:b/>
        </w:rPr>
        <w:t>tis.</w:t>
      </w:r>
      <w:r w:rsidR="000443AA" w:rsidRPr="004A450D">
        <w:rPr>
          <w:rFonts w:cs="Arial"/>
        </w:rPr>
        <w:t xml:space="preserve"> (o </w:t>
      </w:r>
      <w:r w:rsidR="000443AA">
        <w:rPr>
          <w:rFonts w:cs="Arial"/>
        </w:rPr>
        <w:t>18</w:t>
      </w:r>
      <w:r w:rsidR="000443AA" w:rsidRPr="004A450D">
        <w:rPr>
          <w:rFonts w:cs="Arial"/>
        </w:rPr>
        <w:t>,</w:t>
      </w:r>
      <w:r w:rsidR="000443AA">
        <w:rPr>
          <w:rFonts w:cs="Arial"/>
        </w:rPr>
        <w:t>4</w:t>
      </w:r>
      <w:r w:rsidR="000443AA" w:rsidRPr="004A450D">
        <w:rPr>
          <w:rFonts w:cs="Arial"/>
        </w:rPr>
        <w:t xml:space="preserve"> tis., tj. o </w:t>
      </w:r>
      <w:r w:rsidR="000443AA">
        <w:rPr>
          <w:rFonts w:cs="Arial"/>
        </w:rPr>
        <w:t>14</w:t>
      </w:r>
      <w:r w:rsidR="000443AA" w:rsidRPr="004A450D">
        <w:rPr>
          <w:rFonts w:cs="Arial"/>
        </w:rPr>
        <w:t>,</w:t>
      </w:r>
      <w:r w:rsidR="000443AA">
        <w:rPr>
          <w:rFonts w:cs="Arial"/>
        </w:rPr>
        <w:t>2</w:t>
      </w:r>
      <w:r w:rsidR="000443AA" w:rsidRPr="004A450D">
        <w:rPr>
          <w:rFonts w:cs="Arial"/>
        </w:rPr>
        <w:t xml:space="preserve"> %). </w:t>
      </w:r>
      <w:r w:rsidR="00B54712">
        <w:rPr>
          <w:rFonts w:cs="Arial"/>
        </w:rPr>
        <w:t>Průměrný počet dlouhodobě nezaměstnaných nad 12</w:t>
      </w:r>
      <w:r w:rsidR="00E93880">
        <w:rPr>
          <w:rFonts w:cs="Arial"/>
        </w:rPr>
        <w:t> </w:t>
      </w:r>
      <w:r w:rsidR="00B54712">
        <w:rPr>
          <w:rFonts w:cs="Arial"/>
        </w:rPr>
        <w:t xml:space="preserve">měsíců byl 228,0 tis (o 16,1 tis. – tj. o 6,6 % nižší než ve stejném období 2014). </w:t>
      </w:r>
      <w:r w:rsidR="000443AA" w:rsidRPr="004A450D">
        <w:rPr>
          <w:rFonts w:cs="Arial"/>
        </w:rPr>
        <w:t>Podíl žen pobírajících podporu v nezaměstnanosti na celkovém počtu uchazečů s podporou činil 4</w:t>
      </w:r>
      <w:r w:rsidR="000443AA">
        <w:rPr>
          <w:rFonts w:cs="Arial"/>
        </w:rPr>
        <w:t>8</w:t>
      </w:r>
      <w:r w:rsidR="000443AA" w:rsidRPr="004A450D">
        <w:rPr>
          <w:rFonts w:cs="Arial"/>
        </w:rPr>
        <w:t>,</w:t>
      </w:r>
      <w:r w:rsidR="000443AA">
        <w:rPr>
          <w:rFonts w:cs="Arial"/>
        </w:rPr>
        <w:t>0</w:t>
      </w:r>
      <w:r w:rsidR="000443AA" w:rsidRPr="004A450D">
        <w:rPr>
          <w:rFonts w:cs="Arial"/>
        </w:rPr>
        <w:t xml:space="preserve"> % (o</w:t>
      </w:r>
      <w:r w:rsidR="000443AA">
        <w:rPr>
          <w:rFonts w:cs="Arial"/>
        </w:rPr>
        <w:t> 1</w:t>
      </w:r>
      <w:r w:rsidR="000443AA" w:rsidRPr="004A450D">
        <w:rPr>
          <w:rFonts w:cs="Arial"/>
        </w:rPr>
        <w:t>,</w:t>
      </w:r>
      <w:r w:rsidR="000443AA">
        <w:rPr>
          <w:rFonts w:cs="Arial"/>
        </w:rPr>
        <w:t>3</w:t>
      </w:r>
      <w:r w:rsidR="000443AA" w:rsidRPr="004A450D">
        <w:rPr>
          <w:rFonts w:cs="Arial"/>
        </w:rPr>
        <w:t xml:space="preserve"> p.</w:t>
      </w:r>
      <w:r w:rsidR="000443AA">
        <w:rPr>
          <w:rFonts w:cs="Arial"/>
        </w:rPr>
        <w:t> </w:t>
      </w:r>
      <w:r w:rsidR="000443AA" w:rsidRPr="004A450D">
        <w:rPr>
          <w:rFonts w:cs="Arial"/>
        </w:rPr>
        <w:t>b. více než v 1. pololetí 201</w:t>
      </w:r>
      <w:r w:rsidR="000443AA">
        <w:rPr>
          <w:rFonts w:cs="Arial"/>
        </w:rPr>
        <w:t>4</w:t>
      </w:r>
      <w:r w:rsidR="000443AA" w:rsidRPr="004A450D">
        <w:rPr>
          <w:rFonts w:cs="Arial"/>
        </w:rPr>
        <w:t>). Podíl absolventů s podporou se snížil ve sledovaném období o 0,</w:t>
      </w:r>
      <w:r w:rsidR="000443AA">
        <w:rPr>
          <w:rFonts w:cs="Arial"/>
        </w:rPr>
        <w:t>1</w:t>
      </w:r>
      <w:r w:rsidR="000443AA" w:rsidRPr="004A450D">
        <w:rPr>
          <w:rFonts w:cs="Arial"/>
        </w:rPr>
        <w:t xml:space="preserve"> p.</w:t>
      </w:r>
      <w:r w:rsidR="000443AA">
        <w:rPr>
          <w:rFonts w:cs="Arial"/>
        </w:rPr>
        <w:t> </w:t>
      </w:r>
      <w:r w:rsidR="000443AA" w:rsidRPr="004A450D">
        <w:rPr>
          <w:rFonts w:cs="Arial"/>
        </w:rPr>
        <w:t>b. na 0,</w:t>
      </w:r>
      <w:r w:rsidR="000443AA">
        <w:rPr>
          <w:rFonts w:cs="Arial"/>
        </w:rPr>
        <w:t>8</w:t>
      </w:r>
      <w:r w:rsidR="000443AA" w:rsidRPr="004A450D">
        <w:rPr>
          <w:rFonts w:cs="Arial"/>
        </w:rPr>
        <w:t xml:space="preserve"> %. Jedno volné pracovní místo připadalo na</w:t>
      </w:r>
      <w:r w:rsidR="000443AA">
        <w:rPr>
          <w:rFonts w:cs="Arial"/>
        </w:rPr>
        <w:t xml:space="preserve"> 6</w:t>
      </w:r>
      <w:r w:rsidR="000443AA" w:rsidRPr="004A450D">
        <w:rPr>
          <w:rFonts w:cs="Arial"/>
        </w:rPr>
        <w:t>,</w:t>
      </w:r>
      <w:r w:rsidR="000443AA">
        <w:rPr>
          <w:rFonts w:cs="Arial"/>
        </w:rPr>
        <w:t>7</w:t>
      </w:r>
      <w:r w:rsidR="000443AA" w:rsidRPr="004A450D">
        <w:rPr>
          <w:rFonts w:cs="Arial"/>
        </w:rPr>
        <w:t xml:space="preserve"> uchazeč</w:t>
      </w:r>
      <w:r w:rsidR="000443AA">
        <w:rPr>
          <w:rFonts w:cs="Arial"/>
        </w:rPr>
        <w:t>ů</w:t>
      </w:r>
      <w:r w:rsidR="000443AA" w:rsidRPr="004A450D">
        <w:rPr>
          <w:rFonts w:cs="Arial"/>
        </w:rPr>
        <w:t xml:space="preserve"> (ve stejném období roku 201</w:t>
      </w:r>
      <w:r w:rsidR="000443AA">
        <w:rPr>
          <w:rFonts w:cs="Arial"/>
        </w:rPr>
        <w:t>4</w:t>
      </w:r>
      <w:r w:rsidR="000443AA" w:rsidRPr="004A450D">
        <w:rPr>
          <w:rFonts w:cs="Arial"/>
        </w:rPr>
        <w:t xml:space="preserve"> na 14,</w:t>
      </w:r>
      <w:r w:rsidR="000443AA">
        <w:rPr>
          <w:rFonts w:cs="Arial"/>
        </w:rPr>
        <w:t>2</w:t>
      </w:r>
      <w:r w:rsidR="000443AA" w:rsidRPr="004A450D">
        <w:rPr>
          <w:rFonts w:cs="Arial"/>
        </w:rPr>
        <w:t xml:space="preserve"> uchazeče).</w:t>
      </w:r>
    </w:p>
    <w:p w:rsidR="000443AA" w:rsidRDefault="000443AA" w:rsidP="00C91C50">
      <w:pPr>
        <w:spacing w:after="240" w:line="360" w:lineRule="auto"/>
        <w:jc w:val="both"/>
        <w:rPr>
          <w:rFonts w:cs="Arial"/>
          <w:b/>
        </w:rPr>
      </w:pPr>
      <w:r>
        <w:rPr>
          <w:rFonts w:cs="Arial"/>
        </w:rPr>
        <w:tab/>
      </w:r>
      <w:r w:rsidRPr="004A450D">
        <w:rPr>
          <w:rFonts w:cs="Arial"/>
          <w:b/>
        </w:rPr>
        <w:t>Průměrná výše podpory v nezaměstnanosti</w:t>
      </w:r>
      <w:r w:rsidRPr="004A450D">
        <w:rPr>
          <w:rFonts w:cs="Arial"/>
        </w:rPr>
        <w:t xml:space="preserve"> se meziročně ve sledovaném období </w:t>
      </w:r>
      <w:r w:rsidRPr="00890B84">
        <w:rPr>
          <w:rFonts w:cs="Arial"/>
          <w:b/>
        </w:rPr>
        <w:t>zvýšila</w:t>
      </w:r>
      <w:r w:rsidRPr="004A450D">
        <w:rPr>
          <w:rFonts w:cs="Arial"/>
          <w:b/>
        </w:rPr>
        <w:t xml:space="preserve"> o</w:t>
      </w:r>
      <w:r>
        <w:rPr>
          <w:rFonts w:cs="Arial"/>
          <w:b/>
        </w:rPr>
        <w:t> 3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2 </w:t>
      </w:r>
      <w:r w:rsidRPr="004A450D">
        <w:rPr>
          <w:rFonts w:cs="Arial"/>
          <w:b/>
        </w:rPr>
        <w:t>%</w:t>
      </w:r>
      <w:r w:rsidRPr="004A450D">
        <w:rPr>
          <w:rFonts w:cs="Arial"/>
        </w:rPr>
        <w:t xml:space="preserve"> </w:t>
      </w:r>
      <w:r w:rsidRPr="004A450D">
        <w:rPr>
          <w:rFonts w:cs="Arial"/>
          <w:sz w:val="26"/>
        </w:rPr>
        <w:t>(</w:t>
      </w:r>
      <w:r>
        <w:rPr>
          <w:rFonts w:cs="Arial"/>
          <w:sz w:val="26"/>
        </w:rPr>
        <w:t>o 185 </w:t>
      </w:r>
      <w:r w:rsidRPr="004A450D">
        <w:rPr>
          <w:rFonts w:cs="Arial"/>
        </w:rPr>
        <w:t xml:space="preserve">Kč) </w:t>
      </w:r>
      <w:r w:rsidRPr="004A450D">
        <w:rPr>
          <w:rFonts w:cs="Arial"/>
          <w:b/>
        </w:rPr>
        <w:t xml:space="preserve">na </w:t>
      </w:r>
      <w:r>
        <w:rPr>
          <w:rFonts w:cs="Arial"/>
          <w:b/>
        </w:rPr>
        <w:t>6 052 </w:t>
      </w:r>
      <w:r w:rsidRPr="004A450D">
        <w:rPr>
          <w:rFonts w:cs="Arial"/>
          <w:b/>
        </w:rPr>
        <w:t>Kč.</w:t>
      </w:r>
    </w:p>
    <w:p w:rsidR="000443AA" w:rsidRPr="004A450D" w:rsidRDefault="000443AA" w:rsidP="000443AA">
      <w:p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ab/>
        <w:t>Nárůst</w:t>
      </w:r>
      <w:r w:rsidRPr="004A450D">
        <w:rPr>
          <w:rFonts w:cs="Arial"/>
        </w:rPr>
        <w:t xml:space="preserve"> průměrné výše podpory byl zaznamenán ve všech krajích ČR (od </w:t>
      </w:r>
      <w:r>
        <w:rPr>
          <w:rFonts w:cs="Arial"/>
        </w:rPr>
        <w:t>1,2</w:t>
      </w:r>
      <w:r w:rsidRPr="004A450D">
        <w:rPr>
          <w:rFonts w:cs="Arial"/>
        </w:rPr>
        <w:t> % v</w:t>
      </w:r>
      <w:r>
        <w:rPr>
          <w:rFonts w:cs="Arial"/>
        </w:rPr>
        <w:t> Olomouckém</w:t>
      </w:r>
      <w:r w:rsidRPr="004A450D">
        <w:rPr>
          <w:rFonts w:cs="Arial"/>
        </w:rPr>
        <w:t xml:space="preserve"> kraji až po </w:t>
      </w:r>
      <w:r>
        <w:rPr>
          <w:rFonts w:cs="Arial"/>
        </w:rPr>
        <w:t>4</w:t>
      </w:r>
      <w:r w:rsidRPr="004A450D">
        <w:rPr>
          <w:rFonts w:cs="Arial"/>
        </w:rPr>
        <w:t>,</w:t>
      </w:r>
      <w:r>
        <w:rPr>
          <w:rFonts w:cs="Arial"/>
        </w:rPr>
        <w:t>7</w:t>
      </w:r>
      <w:r w:rsidRPr="004A450D">
        <w:rPr>
          <w:rFonts w:cs="Arial"/>
        </w:rPr>
        <w:t xml:space="preserve"> % v kraji </w:t>
      </w:r>
      <w:r>
        <w:rPr>
          <w:rFonts w:cs="Arial"/>
        </w:rPr>
        <w:t>Karlovarském</w:t>
      </w:r>
      <w:r w:rsidRPr="004A450D">
        <w:rPr>
          <w:rFonts w:cs="Arial"/>
        </w:rPr>
        <w:t>). Nejnižší průměrnou úroveň podpory vykázal kraj Zlínský (5 </w:t>
      </w:r>
      <w:r>
        <w:rPr>
          <w:rFonts w:cs="Arial"/>
        </w:rPr>
        <w:t>640</w:t>
      </w:r>
      <w:r w:rsidRPr="004A450D">
        <w:rPr>
          <w:rFonts w:cs="Arial"/>
        </w:rPr>
        <w:t> Kč), nejvyšší hl. m. Praha (7 </w:t>
      </w:r>
      <w:r>
        <w:rPr>
          <w:rFonts w:cs="Arial"/>
        </w:rPr>
        <w:t>527</w:t>
      </w:r>
      <w:r w:rsidRPr="004A450D">
        <w:rPr>
          <w:rFonts w:cs="Arial"/>
        </w:rPr>
        <w:t xml:space="preserve"> Kč) – viz tabulku č. 18 v příloze.</w:t>
      </w:r>
    </w:p>
    <w:p w:rsidR="000443AA" w:rsidRDefault="000443AA" w:rsidP="00C91C50">
      <w:pPr>
        <w:jc w:val="both"/>
        <w:rPr>
          <w:rFonts w:cs="Arial"/>
        </w:rPr>
      </w:pPr>
    </w:p>
    <w:p w:rsidR="00706F4C" w:rsidRPr="004A450D" w:rsidRDefault="00706F4C" w:rsidP="00C91C50">
      <w:pPr>
        <w:jc w:val="both"/>
        <w:rPr>
          <w:rFonts w:cs="Arial"/>
        </w:rPr>
      </w:pPr>
    </w:p>
    <w:p w:rsidR="000443AA" w:rsidRDefault="000443AA" w:rsidP="000443AA">
      <w:pPr>
        <w:spacing w:line="360" w:lineRule="auto"/>
        <w:jc w:val="both"/>
        <w:rPr>
          <w:rFonts w:cs="Arial"/>
        </w:rPr>
      </w:pPr>
      <w:r w:rsidRPr="009C244C">
        <w:rPr>
          <w:rFonts w:cs="Arial"/>
        </w:rPr>
        <w:tab/>
      </w:r>
      <w:r w:rsidRPr="004A450D">
        <w:rPr>
          <w:rFonts w:cs="Arial"/>
          <w:b/>
          <w:u w:val="single"/>
        </w:rPr>
        <w:t>Dávky pomoci v hmotné nouzi</w:t>
      </w:r>
      <w:r>
        <w:rPr>
          <w:rFonts w:cs="Arial"/>
        </w:rPr>
        <w:t xml:space="preserve">, které se podílely </w:t>
      </w:r>
      <w:r w:rsidRPr="004A450D">
        <w:rPr>
          <w:rFonts w:cs="Arial"/>
        </w:rPr>
        <w:t>na celkových sociálních příjmech domácností</w:t>
      </w:r>
      <w:r>
        <w:rPr>
          <w:rFonts w:cs="Arial"/>
        </w:rPr>
        <w:t xml:space="preserve"> 2,3 %</w:t>
      </w:r>
      <w:r w:rsidRPr="004A450D">
        <w:rPr>
          <w:rFonts w:cs="Arial"/>
        </w:rPr>
        <w:t xml:space="preserve">, </w:t>
      </w:r>
      <w:r w:rsidRPr="004A450D">
        <w:rPr>
          <w:rFonts w:cs="Arial"/>
          <w:szCs w:val="24"/>
        </w:rPr>
        <w:t xml:space="preserve">byly čerpány ve </w:t>
      </w:r>
      <w:r w:rsidRPr="004A450D">
        <w:rPr>
          <w:rFonts w:cs="Arial"/>
          <w:b/>
          <w:szCs w:val="24"/>
        </w:rPr>
        <w:t>výši 5,</w:t>
      </w:r>
      <w:r>
        <w:rPr>
          <w:rFonts w:cs="Arial"/>
          <w:b/>
          <w:szCs w:val="24"/>
        </w:rPr>
        <w:t>5</w:t>
      </w:r>
      <w:r w:rsidRPr="004A450D">
        <w:rPr>
          <w:rFonts w:cs="Arial"/>
          <w:b/>
          <w:szCs w:val="24"/>
        </w:rPr>
        <w:t xml:space="preserve"> mld. Kč.</w:t>
      </w:r>
      <w:r w:rsidRPr="004A450D">
        <w:rPr>
          <w:rFonts w:cs="Arial"/>
          <w:szCs w:val="24"/>
        </w:rPr>
        <w:t xml:space="preserve"> V porovnání s množstvím prostředků</w:t>
      </w:r>
      <w:r w:rsidRPr="004A450D">
        <w:rPr>
          <w:rFonts w:cs="Arial"/>
        </w:rPr>
        <w:t xml:space="preserve"> poskytnutých touto formou v 1. pololetí 201</w:t>
      </w:r>
      <w:r>
        <w:rPr>
          <w:rFonts w:cs="Arial"/>
        </w:rPr>
        <w:t>4</w:t>
      </w:r>
      <w:r w:rsidRPr="004A450D">
        <w:rPr>
          <w:rFonts w:cs="Arial"/>
        </w:rPr>
        <w:t xml:space="preserve"> se jednalo o</w:t>
      </w:r>
      <w:r>
        <w:rPr>
          <w:rFonts w:cs="Arial"/>
        </w:rPr>
        <w:t> </w:t>
      </w:r>
      <w:r w:rsidRPr="004A450D">
        <w:rPr>
          <w:rFonts w:cs="Arial"/>
        </w:rPr>
        <w:t xml:space="preserve">jejich </w:t>
      </w:r>
      <w:r w:rsidRPr="007E4467">
        <w:rPr>
          <w:rFonts w:cs="Arial"/>
          <w:b/>
        </w:rPr>
        <w:t>snížení</w:t>
      </w:r>
      <w:r w:rsidRPr="004A450D">
        <w:rPr>
          <w:rFonts w:cs="Arial"/>
          <w:b/>
          <w:bCs/>
        </w:rPr>
        <w:t xml:space="preserve"> </w:t>
      </w:r>
      <w:r w:rsidRPr="004A450D">
        <w:rPr>
          <w:rFonts w:cs="Arial"/>
          <w:b/>
        </w:rPr>
        <w:t>o 0,</w:t>
      </w:r>
      <w:r>
        <w:rPr>
          <w:rFonts w:cs="Arial"/>
          <w:b/>
        </w:rPr>
        <w:t>3</w:t>
      </w:r>
      <w:r w:rsidRPr="004A450D">
        <w:rPr>
          <w:rFonts w:cs="Arial"/>
          <w:b/>
        </w:rPr>
        <w:t xml:space="preserve"> mld. Kč </w:t>
      </w:r>
      <w:r w:rsidRPr="004A450D">
        <w:rPr>
          <w:rFonts w:cs="Arial"/>
        </w:rPr>
        <w:t>(</w:t>
      </w:r>
      <w:r w:rsidRPr="004A450D">
        <w:rPr>
          <w:rFonts w:cs="Arial"/>
          <w:b/>
        </w:rPr>
        <w:t>o </w:t>
      </w:r>
      <w:r>
        <w:rPr>
          <w:rFonts w:cs="Arial"/>
          <w:b/>
        </w:rPr>
        <w:t>4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7</w:t>
      </w:r>
      <w:r w:rsidRPr="004A450D">
        <w:rPr>
          <w:rFonts w:cs="Arial"/>
          <w:b/>
        </w:rPr>
        <w:t> %</w:t>
      </w:r>
      <w:r w:rsidRPr="004A450D">
        <w:rPr>
          <w:rFonts w:cs="Arial"/>
        </w:rPr>
        <w:t>)</w:t>
      </w:r>
      <w:r>
        <w:rPr>
          <w:rFonts w:cs="Arial"/>
        </w:rPr>
        <w:t>.</w:t>
      </w:r>
      <w:r w:rsidRPr="004A450D">
        <w:rPr>
          <w:rFonts w:cs="Arial"/>
        </w:rPr>
        <w:t xml:space="preserve"> Vývoj výdajů na jednotlivé dávky ukazuje </w:t>
      </w:r>
      <w:r>
        <w:rPr>
          <w:rFonts w:cs="Arial"/>
        </w:rPr>
        <w:t>graf:</w:t>
      </w:r>
    </w:p>
    <w:p w:rsidR="00706F4C" w:rsidRDefault="00706F4C" w:rsidP="00706F4C">
      <w:pPr>
        <w:jc w:val="both"/>
        <w:rPr>
          <w:rFonts w:cs="Arial"/>
        </w:rPr>
      </w:pPr>
    </w:p>
    <w:p w:rsidR="000443AA" w:rsidRDefault="000443AA" w:rsidP="00706F4C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5448300" cy="3731261"/>
            <wp:effectExtent l="0" t="0" r="0" b="254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31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3AA" w:rsidRDefault="000443AA" w:rsidP="00706F4C">
      <w:pPr>
        <w:jc w:val="both"/>
        <w:rPr>
          <w:rFonts w:cs="Arial"/>
        </w:rPr>
      </w:pPr>
    </w:p>
    <w:p w:rsidR="000443AA" w:rsidRDefault="000443AA" w:rsidP="000443AA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4A450D">
        <w:rPr>
          <w:rFonts w:cs="Arial"/>
          <w:bCs/>
        </w:rPr>
        <w:t>Výdaje na</w:t>
      </w:r>
      <w:r w:rsidRPr="004A450D">
        <w:rPr>
          <w:rFonts w:cs="Arial"/>
          <w:b/>
        </w:rPr>
        <w:t xml:space="preserve"> příspěvek na živobytí </w:t>
      </w:r>
      <w:r w:rsidRPr="004A450D">
        <w:rPr>
          <w:rFonts w:cs="Arial"/>
        </w:rPr>
        <w:t xml:space="preserve">(jejichž podíl činil ve sledovaném období </w:t>
      </w:r>
      <w:r>
        <w:rPr>
          <w:rFonts w:cs="Arial"/>
        </w:rPr>
        <w:t>69</w:t>
      </w:r>
      <w:r w:rsidRPr="004A450D">
        <w:rPr>
          <w:rFonts w:cs="Arial"/>
        </w:rPr>
        <w:t>,</w:t>
      </w:r>
      <w:r>
        <w:rPr>
          <w:rFonts w:cs="Arial"/>
        </w:rPr>
        <w:t>6</w:t>
      </w:r>
      <w:r w:rsidRPr="004A450D">
        <w:rPr>
          <w:rFonts w:cs="Arial"/>
        </w:rPr>
        <w:t xml:space="preserve"> % z úhrnného objemu prostředků na dávky pomoci v hmotné nouzi) </w:t>
      </w:r>
      <w:r>
        <w:rPr>
          <w:rFonts w:cs="Arial"/>
        </w:rPr>
        <w:t>činily</w:t>
      </w:r>
      <w:r w:rsidRPr="004A450D">
        <w:rPr>
          <w:rFonts w:cs="Arial"/>
          <w:b/>
        </w:rPr>
        <w:t> </w:t>
      </w:r>
      <w:r>
        <w:rPr>
          <w:rFonts w:cs="Arial"/>
          <w:b/>
        </w:rPr>
        <w:t>3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8 </w:t>
      </w:r>
      <w:r w:rsidRPr="004A450D">
        <w:rPr>
          <w:rFonts w:cs="Arial"/>
          <w:b/>
        </w:rPr>
        <w:t>mld. Kč</w:t>
      </w:r>
      <w:r w:rsidRPr="004A450D">
        <w:rPr>
          <w:rFonts w:cs="Arial"/>
        </w:rPr>
        <w:t xml:space="preserve"> a </w:t>
      </w:r>
      <w:r>
        <w:rPr>
          <w:rFonts w:cs="Arial"/>
        </w:rPr>
        <w:t>byly oproti</w:t>
      </w:r>
      <w:r w:rsidRPr="004A450D">
        <w:rPr>
          <w:rFonts w:cs="Arial"/>
        </w:rPr>
        <w:t xml:space="preserve"> </w:t>
      </w:r>
      <w:r>
        <w:rPr>
          <w:rFonts w:cs="Arial"/>
        </w:rPr>
        <w:t>1. pololetí 2014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</w:rPr>
        <w:t>o 0,</w:t>
      </w:r>
      <w:r>
        <w:rPr>
          <w:rFonts w:cs="Arial"/>
          <w:b/>
        </w:rPr>
        <w:t>2</w:t>
      </w:r>
      <w:r w:rsidRPr="004A450D">
        <w:rPr>
          <w:rFonts w:cs="Arial"/>
          <w:b/>
        </w:rPr>
        <w:t xml:space="preserve"> mld. Kč (o </w:t>
      </w:r>
      <w:r>
        <w:rPr>
          <w:rFonts w:cs="Arial"/>
          <w:b/>
        </w:rPr>
        <w:t>5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9</w:t>
      </w:r>
      <w:r w:rsidRPr="004A450D">
        <w:rPr>
          <w:rFonts w:cs="Arial"/>
          <w:b/>
        </w:rPr>
        <w:t xml:space="preserve"> %)</w:t>
      </w:r>
      <w:r>
        <w:rPr>
          <w:rFonts w:cs="Arial"/>
          <w:b/>
        </w:rPr>
        <w:t xml:space="preserve"> nižší</w:t>
      </w:r>
      <w:r w:rsidRPr="004A450D">
        <w:rPr>
          <w:rFonts w:cs="Arial"/>
        </w:rPr>
        <w:t>.</w:t>
      </w:r>
      <w:r w:rsidRPr="004A450D">
        <w:rPr>
          <w:rFonts w:cs="Arial"/>
          <w:b/>
        </w:rPr>
        <w:t xml:space="preserve"> </w:t>
      </w:r>
      <w:r w:rsidRPr="004A450D">
        <w:rPr>
          <w:rFonts w:cs="Arial"/>
        </w:rPr>
        <w:t xml:space="preserve">Meziročně byly výdaje na příspěvek na živobytí překročeny </w:t>
      </w:r>
      <w:r>
        <w:rPr>
          <w:rFonts w:cs="Arial"/>
        </w:rPr>
        <w:t xml:space="preserve">pouze </w:t>
      </w:r>
      <w:r w:rsidRPr="004A450D">
        <w:rPr>
          <w:rFonts w:cs="Arial"/>
        </w:rPr>
        <w:t>v</w:t>
      </w:r>
      <w:r>
        <w:rPr>
          <w:rFonts w:cs="Arial"/>
        </w:rPr>
        <w:t> hl. m. Praze,</w:t>
      </w:r>
      <w:r w:rsidRPr="004A450D">
        <w:rPr>
          <w:rFonts w:cs="Arial"/>
        </w:rPr>
        <w:t xml:space="preserve"> </w:t>
      </w:r>
      <w:r>
        <w:rPr>
          <w:rFonts w:cs="Arial"/>
        </w:rPr>
        <w:t>ve</w:t>
      </w:r>
      <w:r w:rsidR="00C91C50">
        <w:rPr>
          <w:rFonts w:cs="Arial"/>
        </w:rPr>
        <w:t> </w:t>
      </w:r>
      <w:r w:rsidRPr="004A450D">
        <w:rPr>
          <w:rFonts w:cs="Arial"/>
        </w:rPr>
        <w:t>všech</w:t>
      </w:r>
      <w:r>
        <w:rPr>
          <w:rFonts w:cs="Arial"/>
        </w:rPr>
        <w:t xml:space="preserve"> ostatních </w:t>
      </w:r>
      <w:r w:rsidRPr="004A450D">
        <w:rPr>
          <w:rFonts w:cs="Arial"/>
        </w:rPr>
        <w:t xml:space="preserve">krajích </w:t>
      </w:r>
      <w:r>
        <w:rPr>
          <w:rFonts w:cs="Arial"/>
        </w:rPr>
        <w:t>se snížily.</w:t>
      </w:r>
      <w:r w:rsidRPr="00897646">
        <w:rPr>
          <w:rFonts w:cs="Arial"/>
        </w:rPr>
        <w:t xml:space="preserve"> </w:t>
      </w:r>
      <w:r w:rsidRPr="004A450D">
        <w:rPr>
          <w:rFonts w:cs="Arial"/>
        </w:rPr>
        <w:t xml:space="preserve">Průměrný měsíční počet dávek se </w:t>
      </w:r>
      <w:r>
        <w:rPr>
          <w:rFonts w:cs="Arial"/>
        </w:rPr>
        <w:t>snížil</w:t>
      </w:r>
      <w:r w:rsidRPr="004A450D">
        <w:rPr>
          <w:rFonts w:cs="Arial"/>
        </w:rPr>
        <w:t xml:space="preserve"> o 1</w:t>
      </w:r>
      <w:r>
        <w:rPr>
          <w:rFonts w:cs="Arial"/>
        </w:rPr>
        <w:t>0</w:t>
      </w:r>
      <w:r w:rsidRPr="004A450D">
        <w:rPr>
          <w:rFonts w:cs="Arial"/>
        </w:rPr>
        <w:t>,</w:t>
      </w:r>
      <w:r>
        <w:rPr>
          <w:rFonts w:cs="Arial"/>
        </w:rPr>
        <w:t>8</w:t>
      </w:r>
      <w:r w:rsidRPr="004A450D">
        <w:rPr>
          <w:rFonts w:cs="Arial"/>
        </w:rPr>
        <w:t xml:space="preserve"> tis. (</w:t>
      </w:r>
      <w:r>
        <w:rPr>
          <w:rFonts w:cs="Arial"/>
        </w:rPr>
        <w:t>6</w:t>
      </w:r>
      <w:r w:rsidRPr="004A450D">
        <w:rPr>
          <w:rFonts w:cs="Arial"/>
        </w:rPr>
        <w:t>,</w:t>
      </w:r>
      <w:r>
        <w:rPr>
          <w:rFonts w:cs="Arial"/>
        </w:rPr>
        <w:t>5 </w:t>
      </w:r>
      <w:r w:rsidRPr="004A450D">
        <w:rPr>
          <w:rFonts w:cs="Arial"/>
        </w:rPr>
        <w:t xml:space="preserve">%) na </w:t>
      </w:r>
      <w:r w:rsidRPr="004A450D">
        <w:rPr>
          <w:rFonts w:cs="Arial"/>
          <w:b/>
        </w:rPr>
        <w:t>1</w:t>
      </w:r>
      <w:r>
        <w:rPr>
          <w:rFonts w:cs="Arial"/>
          <w:b/>
        </w:rPr>
        <w:t>5</w:t>
      </w:r>
      <w:r w:rsidRPr="004A450D">
        <w:rPr>
          <w:rFonts w:cs="Arial"/>
          <w:b/>
        </w:rPr>
        <w:t>5,</w:t>
      </w:r>
      <w:r>
        <w:rPr>
          <w:rFonts w:cs="Arial"/>
          <w:b/>
        </w:rPr>
        <w:t>1</w:t>
      </w:r>
      <w:r w:rsidRPr="004A450D">
        <w:rPr>
          <w:rFonts w:cs="Arial"/>
          <w:b/>
        </w:rPr>
        <w:t xml:space="preserve"> tis. dávek</w:t>
      </w:r>
      <w:r w:rsidR="00C91C50">
        <w:rPr>
          <w:rFonts w:cs="Arial"/>
          <w:b/>
        </w:rPr>
        <w:t xml:space="preserve"> </w:t>
      </w:r>
      <w:r w:rsidR="00C91C50">
        <w:rPr>
          <w:rFonts w:cs="Arial"/>
        </w:rPr>
        <w:t>–</w:t>
      </w:r>
      <w:r w:rsidRPr="004A450D">
        <w:rPr>
          <w:rFonts w:cs="Arial"/>
        </w:rPr>
        <w:t xml:space="preserve"> viz tabulku č. 20 </w:t>
      </w:r>
      <w:r>
        <w:rPr>
          <w:rFonts w:cs="Arial"/>
        </w:rPr>
        <w:t>a 21</w:t>
      </w:r>
      <w:r w:rsidRPr="004A450D">
        <w:rPr>
          <w:rFonts w:cs="Arial"/>
        </w:rPr>
        <w:t>v příloze.</w:t>
      </w:r>
    </w:p>
    <w:p w:rsidR="00C91C50" w:rsidRDefault="00C91C50" w:rsidP="000443AA">
      <w:pPr>
        <w:spacing w:line="360" w:lineRule="auto"/>
        <w:jc w:val="both"/>
        <w:rPr>
          <w:rFonts w:cs="Arial"/>
        </w:rPr>
      </w:pPr>
    </w:p>
    <w:p w:rsidR="000443AA" w:rsidRPr="00C47469" w:rsidRDefault="00706F4C" w:rsidP="00706F4C">
      <w:pPr>
        <w:spacing w:line="360" w:lineRule="auto"/>
        <w:jc w:val="both"/>
        <w:rPr>
          <w:rFonts w:cs="Arial"/>
          <w:b/>
        </w:rPr>
      </w:pPr>
      <w:r>
        <w:rPr>
          <w:rFonts w:cs="Arial"/>
        </w:rPr>
        <w:lastRenderedPageBreak/>
        <w:tab/>
      </w:r>
      <w:r w:rsidR="000443AA" w:rsidRPr="00C47469">
        <w:rPr>
          <w:rFonts w:cs="Arial"/>
          <w:b/>
        </w:rPr>
        <w:t>V červnu 2015</w:t>
      </w:r>
    </w:p>
    <w:p w:rsidR="000443AA" w:rsidRPr="00C47469" w:rsidRDefault="000443AA" w:rsidP="000443AA">
      <w:pPr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C47469">
        <w:rPr>
          <w:rFonts w:cs="Arial"/>
        </w:rPr>
        <w:t>bylo vyplaceno 150,1 tis. příspěvků na živobytí, což bylo meziročně o 12,5 tis. (o 7,7 %) méně,</w:t>
      </w:r>
    </w:p>
    <w:p w:rsidR="000443AA" w:rsidRPr="00C47469" w:rsidRDefault="000443AA" w:rsidP="000443AA">
      <w:pPr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C47469">
        <w:rPr>
          <w:rFonts w:cs="Arial"/>
        </w:rPr>
        <w:t>z celkového počtu dávek připadalo 48,5 % na domácnosti jednotlivců, 9,1 % domácností mělo 5 členů a více,</w:t>
      </w:r>
    </w:p>
    <w:p w:rsidR="000443AA" w:rsidRPr="00C47469" w:rsidRDefault="000443AA" w:rsidP="000443AA">
      <w:pPr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C47469">
        <w:rPr>
          <w:rFonts w:cs="Arial"/>
        </w:rPr>
        <w:t>průměrná výše dávky činila 4 093 Kč (o 5 Kč více než v červnu 2014).</w:t>
      </w:r>
    </w:p>
    <w:p w:rsidR="000443AA" w:rsidRDefault="000443AA" w:rsidP="000443AA">
      <w:pPr>
        <w:spacing w:line="360" w:lineRule="auto"/>
        <w:jc w:val="both"/>
        <w:rPr>
          <w:rFonts w:cs="Arial"/>
        </w:rPr>
      </w:pPr>
    </w:p>
    <w:p w:rsidR="000443AA" w:rsidRDefault="000443AA" w:rsidP="000443AA">
      <w:pPr>
        <w:spacing w:line="360" w:lineRule="auto"/>
        <w:jc w:val="both"/>
        <w:rPr>
          <w:rFonts w:cs="Arial"/>
        </w:rPr>
      </w:pPr>
      <w:r w:rsidRPr="009C244C">
        <w:rPr>
          <w:rFonts w:cs="Arial"/>
        </w:rPr>
        <w:tab/>
      </w:r>
      <w:r w:rsidRPr="004A450D">
        <w:rPr>
          <w:rFonts w:cs="Arial"/>
        </w:rPr>
        <w:t>Na</w:t>
      </w:r>
      <w:r w:rsidRPr="004A450D">
        <w:rPr>
          <w:rFonts w:cs="Arial"/>
          <w:b/>
          <w:bCs/>
        </w:rPr>
        <w:t xml:space="preserve"> doplatku na bydlení</w:t>
      </w:r>
      <w:r w:rsidR="00706F4C">
        <w:rPr>
          <w:rFonts w:cs="Arial"/>
          <w:b/>
          <w:bCs/>
        </w:rPr>
        <w:t>,</w:t>
      </w:r>
      <w:r w:rsidRPr="004A450D">
        <w:rPr>
          <w:rFonts w:cs="Arial"/>
        </w:rPr>
        <w:t xml:space="preserve"> který představuje 2</w:t>
      </w:r>
      <w:r>
        <w:rPr>
          <w:rFonts w:cs="Arial"/>
        </w:rPr>
        <w:t>9</w:t>
      </w:r>
      <w:r w:rsidRPr="004A450D">
        <w:rPr>
          <w:rFonts w:cs="Arial"/>
        </w:rPr>
        <w:t>,</w:t>
      </w:r>
      <w:r>
        <w:rPr>
          <w:rFonts w:cs="Arial"/>
        </w:rPr>
        <w:t>2</w:t>
      </w:r>
      <w:r w:rsidR="00706F4C">
        <w:rPr>
          <w:rFonts w:cs="Arial"/>
        </w:rPr>
        <w:t> </w:t>
      </w:r>
      <w:r w:rsidRPr="004A450D">
        <w:rPr>
          <w:rFonts w:cs="Arial"/>
        </w:rPr>
        <w:t xml:space="preserve">% z úhrnu dávek pomoci v hmotné nouzi, bylo vyplaceno </w:t>
      </w:r>
      <w:r w:rsidRPr="004A450D">
        <w:rPr>
          <w:rFonts w:cs="Arial"/>
          <w:b/>
        </w:rPr>
        <w:t>1,6</w:t>
      </w:r>
      <w:r w:rsidR="00706F4C">
        <w:rPr>
          <w:rFonts w:cs="Arial"/>
          <w:b/>
        </w:rPr>
        <w:t> </w:t>
      </w:r>
      <w:r w:rsidRPr="004A450D">
        <w:rPr>
          <w:rFonts w:cs="Arial"/>
          <w:b/>
        </w:rPr>
        <w:t>mld.</w:t>
      </w:r>
      <w:r w:rsidR="00706F4C">
        <w:rPr>
          <w:rFonts w:cs="Arial"/>
          <w:b/>
        </w:rPr>
        <w:t> </w:t>
      </w:r>
      <w:r w:rsidRPr="004A450D">
        <w:rPr>
          <w:rFonts w:cs="Arial"/>
          <w:b/>
        </w:rPr>
        <w:t>Kč</w:t>
      </w:r>
      <w:r w:rsidR="00706F4C">
        <w:rPr>
          <w:rFonts w:cs="Arial"/>
          <w:b/>
        </w:rPr>
        <w:t>,</w:t>
      </w:r>
      <w:r w:rsidRPr="004A450D">
        <w:rPr>
          <w:rFonts w:cs="Arial"/>
        </w:rPr>
        <w:t xml:space="preserve"> tj. </w:t>
      </w:r>
      <w:r w:rsidRPr="004A450D">
        <w:rPr>
          <w:rFonts w:cs="Arial"/>
          <w:b/>
        </w:rPr>
        <w:t xml:space="preserve">o </w:t>
      </w:r>
      <w:r>
        <w:rPr>
          <w:rFonts w:cs="Arial"/>
          <w:b/>
        </w:rPr>
        <w:t>1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4</w:t>
      </w:r>
      <w:r w:rsidRPr="004A450D">
        <w:rPr>
          <w:rFonts w:cs="Arial"/>
          <w:b/>
        </w:rPr>
        <w:t xml:space="preserve"> % </w:t>
      </w:r>
      <w:r>
        <w:rPr>
          <w:rFonts w:cs="Arial"/>
          <w:b/>
        </w:rPr>
        <w:t>méně</w:t>
      </w:r>
      <w:r w:rsidRPr="004A450D">
        <w:rPr>
          <w:rFonts w:cs="Arial"/>
        </w:rPr>
        <w:t xml:space="preserve"> než v 1. pololetí 201</w:t>
      </w:r>
      <w:r>
        <w:rPr>
          <w:rFonts w:cs="Arial"/>
        </w:rPr>
        <w:t>4</w:t>
      </w:r>
      <w:r w:rsidRPr="004A450D">
        <w:rPr>
          <w:rFonts w:cs="Arial"/>
        </w:rPr>
        <w:t xml:space="preserve">. </w:t>
      </w:r>
      <w:r>
        <w:rPr>
          <w:rFonts w:cs="Arial"/>
        </w:rPr>
        <w:t>Výdaje na tuto dávku byly meziročně nejvíce překročeny v hl. m. Praze (o 5,1 %) a</w:t>
      </w:r>
      <w:r w:rsidR="00706F4C">
        <w:rPr>
          <w:rFonts w:cs="Arial"/>
        </w:rPr>
        <w:t> </w:t>
      </w:r>
      <w:r>
        <w:rPr>
          <w:rFonts w:cs="Arial"/>
        </w:rPr>
        <w:t>v Moravskoslezském kraji (o 4,3</w:t>
      </w:r>
      <w:r w:rsidR="00706F4C">
        <w:rPr>
          <w:rFonts w:cs="Arial"/>
        </w:rPr>
        <w:t> </w:t>
      </w:r>
      <w:r>
        <w:rPr>
          <w:rFonts w:cs="Arial"/>
        </w:rPr>
        <w:t>%), nejvýrazněji se snížily v Plzeňském kraji a</w:t>
      </w:r>
      <w:r w:rsidR="00706F4C">
        <w:rPr>
          <w:rFonts w:cs="Arial"/>
        </w:rPr>
        <w:t> </w:t>
      </w:r>
      <w:r>
        <w:rPr>
          <w:rFonts w:cs="Arial"/>
        </w:rPr>
        <w:t>v kraji Vysočina (o 12,8</w:t>
      </w:r>
      <w:r w:rsidR="00706F4C">
        <w:rPr>
          <w:rFonts w:cs="Arial"/>
        </w:rPr>
        <w:t> </w:t>
      </w:r>
      <w:r>
        <w:rPr>
          <w:rFonts w:cs="Arial"/>
        </w:rPr>
        <w:t>%).</w:t>
      </w:r>
      <w:r w:rsidRPr="00897646">
        <w:rPr>
          <w:rFonts w:cs="Arial"/>
        </w:rPr>
        <w:t xml:space="preserve"> </w:t>
      </w:r>
      <w:r>
        <w:rPr>
          <w:rFonts w:cs="Arial"/>
        </w:rPr>
        <w:t>Průměrný měsíční počet dávek se snížil o 1,7 tis. (2,3</w:t>
      </w:r>
      <w:r w:rsidR="00706F4C">
        <w:rPr>
          <w:rFonts w:cs="Arial"/>
        </w:rPr>
        <w:t> </w:t>
      </w:r>
      <w:r>
        <w:rPr>
          <w:rFonts w:cs="Arial"/>
        </w:rPr>
        <w:t xml:space="preserve">%) na </w:t>
      </w:r>
      <w:r w:rsidRPr="00897646">
        <w:rPr>
          <w:rFonts w:cs="Arial"/>
          <w:b/>
        </w:rPr>
        <w:t>72,6 tis. dávek</w:t>
      </w:r>
      <w:r w:rsidR="00706F4C">
        <w:rPr>
          <w:rFonts w:cs="Arial"/>
          <w:b/>
        </w:rPr>
        <w:t>,</w:t>
      </w:r>
      <w:r w:rsidRPr="004A450D">
        <w:rPr>
          <w:rFonts w:cs="Arial"/>
        </w:rPr>
        <w:t xml:space="preserve"> jak ukazuj</w:t>
      </w:r>
      <w:r>
        <w:rPr>
          <w:rFonts w:cs="Arial"/>
        </w:rPr>
        <w:t>í</w:t>
      </w:r>
      <w:r w:rsidRPr="004A450D">
        <w:rPr>
          <w:rFonts w:cs="Arial"/>
        </w:rPr>
        <w:t xml:space="preserve"> tabulk</w:t>
      </w:r>
      <w:r>
        <w:rPr>
          <w:rFonts w:cs="Arial"/>
        </w:rPr>
        <w:t>y</w:t>
      </w:r>
      <w:r w:rsidRPr="004A450D">
        <w:rPr>
          <w:rFonts w:cs="Arial"/>
        </w:rPr>
        <w:t xml:space="preserve"> č. 20</w:t>
      </w:r>
      <w:r>
        <w:rPr>
          <w:rFonts w:cs="Arial"/>
        </w:rPr>
        <w:t xml:space="preserve"> a 21</w:t>
      </w:r>
      <w:r w:rsidRPr="004A450D">
        <w:rPr>
          <w:rFonts w:cs="Arial"/>
        </w:rPr>
        <w:t xml:space="preserve"> v příloze.</w:t>
      </w:r>
    </w:p>
    <w:p w:rsidR="00706F4C" w:rsidRDefault="00706F4C" w:rsidP="000443AA">
      <w:pPr>
        <w:spacing w:line="360" w:lineRule="auto"/>
        <w:jc w:val="both"/>
        <w:rPr>
          <w:rFonts w:cs="Arial"/>
        </w:rPr>
      </w:pPr>
    </w:p>
    <w:p w:rsidR="000443AA" w:rsidRPr="008A6437" w:rsidRDefault="00706F4C" w:rsidP="00706F4C">
      <w:pPr>
        <w:spacing w:line="360" w:lineRule="auto"/>
        <w:jc w:val="both"/>
        <w:rPr>
          <w:rFonts w:cs="Arial"/>
          <w:b/>
        </w:rPr>
      </w:pPr>
      <w:r>
        <w:rPr>
          <w:rFonts w:cs="Arial"/>
        </w:rPr>
        <w:tab/>
      </w:r>
      <w:r w:rsidR="000443AA" w:rsidRPr="008A6437">
        <w:rPr>
          <w:rFonts w:cs="Arial"/>
          <w:b/>
        </w:rPr>
        <w:t>V červnu 2015</w:t>
      </w:r>
    </w:p>
    <w:p w:rsidR="000443AA" w:rsidRPr="008A6437" w:rsidRDefault="000443AA" w:rsidP="000443AA">
      <w:pPr>
        <w:numPr>
          <w:ilvl w:val="0"/>
          <w:numId w:val="15"/>
        </w:numPr>
        <w:spacing w:line="276" w:lineRule="auto"/>
        <w:jc w:val="both"/>
        <w:rPr>
          <w:rFonts w:cs="Arial"/>
        </w:rPr>
      </w:pPr>
      <w:r w:rsidRPr="008A6437">
        <w:rPr>
          <w:rFonts w:cs="Arial"/>
        </w:rPr>
        <w:t>bylo vyplaceno 69,2 tis. doplatků na bydlení – o 2,6 tis. (o 3,6 %) méně než v červnu 2014,</w:t>
      </w:r>
    </w:p>
    <w:p w:rsidR="000443AA" w:rsidRPr="008A6437" w:rsidRDefault="000443AA" w:rsidP="000443AA">
      <w:pPr>
        <w:numPr>
          <w:ilvl w:val="0"/>
          <w:numId w:val="15"/>
        </w:numPr>
        <w:spacing w:line="276" w:lineRule="auto"/>
        <w:jc w:val="both"/>
        <w:rPr>
          <w:rFonts w:cs="Arial"/>
        </w:rPr>
      </w:pPr>
      <w:r w:rsidRPr="008A6437">
        <w:rPr>
          <w:rFonts w:cs="Arial"/>
        </w:rPr>
        <w:t>z tohoto počtu připadla největší část – 46,8 % na domácnosti jednotlivců, domácností s 5 a více členy bylo 9,2 %,</w:t>
      </w:r>
    </w:p>
    <w:p w:rsidR="000443AA" w:rsidRPr="008A6437" w:rsidRDefault="000443AA" w:rsidP="000443AA">
      <w:pPr>
        <w:numPr>
          <w:ilvl w:val="0"/>
          <w:numId w:val="15"/>
        </w:numPr>
        <w:spacing w:line="276" w:lineRule="auto"/>
        <w:jc w:val="both"/>
        <w:rPr>
          <w:rFonts w:cs="Arial"/>
        </w:rPr>
      </w:pPr>
      <w:r w:rsidRPr="008A6437">
        <w:rPr>
          <w:rFonts w:cs="Arial"/>
        </w:rPr>
        <w:t>průměrná výše dávky činila 3 642 Kč (o 55 Kč méně než v červnu 2014),</w:t>
      </w:r>
    </w:p>
    <w:p w:rsidR="000443AA" w:rsidRPr="008A6437" w:rsidRDefault="000443AA" w:rsidP="000443AA">
      <w:pPr>
        <w:numPr>
          <w:ilvl w:val="0"/>
          <w:numId w:val="15"/>
        </w:numPr>
        <w:spacing w:line="276" w:lineRule="auto"/>
        <w:jc w:val="both"/>
        <w:rPr>
          <w:rFonts w:cs="Arial"/>
        </w:rPr>
      </w:pPr>
      <w:r w:rsidRPr="008A6437">
        <w:rPr>
          <w:rFonts w:cs="Arial"/>
        </w:rPr>
        <w:t>většina dávek byla vyplacena domácnostem bydlícím v nájemní formě bydlení (60,2 %), 38,0 % do jiných forem bydlení.</w:t>
      </w:r>
    </w:p>
    <w:p w:rsidR="000443AA" w:rsidRPr="008A6437" w:rsidRDefault="000443AA" w:rsidP="000443AA">
      <w:pPr>
        <w:spacing w:line="360" w:lineRule="auto"/>
        <w:jc w:val="both"/>
        <w:rPr>
          <w:rFonts w:cs="Arial"/>
          <w:b/>
          <w:bCs/>
        </w:rPr>
      </w:pPr>
    </w:p>
    <w:p w:rsidR="000443AA" w:rsidRPr="004A450D" w:rsidRDefault="000443AA" w:rsidP="000443AA">
      <w:pPr>
        <w:spacing w:line="360" w:lineRule="auto"/>
        <w:jc w:val="both"/>
        <w:rPr>
          <w:rFonts w:cs="Arial"/>
        </w:rPr>
      </w:pPr>
      <w:r w:rsidRPr="009C244C">
        <w:rPr>
          <w:rFonts w:cs="Arial"/>
        </w:rPr>
        <w:tab/>
      </w:r>
      <w:r w:rsidRPr="004A450D">
        <w:rPr>
          <w:rFonts w:cs="Arial"/>
          <w:b/>
          <w:bCs/>
        </w:rPr>
        <w:t>Výdaje na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</w:rPr>
        <w:t>mimořádnou okamžitou pomoc</w:t>
      </w:r>
      <w:r w:rsidRPr="004A450D">
        <w:rPr>
          <w:rFonts w:cs="Arial"/>
        </w:rPr>
        <w:t xml:space="preserve"> (poslední z dávek tohoto systému) se proti srovnatelnému období </w:t>
      </w:r>
      <w:r w:rsidRPr="004A450D">
        <w:rPr>
          <w:rFonts w:cs="Arial"/>
          <w:b/>
        </w:rPr>
        <w:t>snížily</w:t>
      </w:r>
      <w:r w:rsidRPr="004A450D">
        <w:rPr>
          <w:rFonts w:cs="Arial"/>
        </w:rPr>
        <w:t xml:space="preserve">. Bylo na nich vyplaceno </w:t>
      </w:r>
      <w:r w:rsidRPr="00BD671B">
        <w:rPr>
          <w:rFonts w:cs="Arial"/>
          <w:b/>
        </w:rPr>
        <w:t>66,0</w:t>
      </w:r>
      <w:r w:rsidRPr="004A450D">
        <w:rPr>
          <w:rFonts w:cs="Arial"/>
          <w:b/>
        </w:rPr>
        <w:t> mil. Kč</w:t>
      </w:r>
      <w:r w:rsidRPr="004A450D">
        <w:rPr>
          <w:rFonts w:cs="Arial"/>
        </w:rPr>
        <w:t xml:space="preserve">, tj. </w:t>
      </w:r>
      <w:r w:rsidRPr="004A450D">
        <w:rPr>
          <w:rFonts w:cs="Arial"/>
          <w:b/>
        </w:rPr>
        <w:t xml:space="preserve">o </w:t>
      </w:r>
      <w:r>
        <w:rPr>
          <w:rFonts w:cs="Arial"/>
          <w:b/>
        </w:rPr>
        <w:t>9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5</w:t>
      </w:r>
      <w:r w:rsidRPr="004A450D">
        <w:rPr>
          <w:rFonts w:cs="Arial"/>
          <w:b/>
        </w:rPr>
        <w:t xml:space="preserve"> %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</w:rPr>
        <w:t>méně</w:t>
      </w:r>
      <w:r>
        <w:rPr>
          <w:rFonts w:cs="Arial"/>
          <w:b/>
        </w:rPr>
        <w:t xml:space="preserve"> </w:t>
      </w:r>
      <w:r w:rsidRPr="00BD671B">
        <w:rPr>
          <w:rFonts w:cs="Arial"/>
        </w:rPr>
        <w:t>n</w:t>
      </w:r>
      <w:r>
        <w:rPr>
          <w:rFonts w:cs="Arial"/>
        </w:rPr>
        <w:t>ež v 1. pololetí 2014. Snížil se také průměrný počet dávek o 1,4 tis. -</w:t>
      </w:r>
      <w:r w:rsidRPr="004A450D">
        <w:rPr>
          <w:rFonts w:cs="Arial"/>
        </w:rPr>
        <w:t xml:space="preserve"> viz tabulk</w:t>
      </w:r>
      <w:r>
        <w:rPr>
          <w:rFonts w:cs="Arial"/>
        </w:rPr>
        <w:t>y</w:t>
      </w:r>
      <w:r w:rsidRPr="004A450D">
        <w:rPr>
          <w:rFonts w:cs="Arial"/>
        </w:rPr>
        <w:t xml:space="preserve"> č. 20 </w:t>
      </w:r>
      <w:r>
        <w:rPr>
          <w:rFonts w:cs="Arial"/>
        </w:rPr>
        <w:t xml:space="preserve">a 21 </w:t>
      </w:r>
      <w:r w:rsidRPr="004A450D">
        <w:rPr>
          <w:rFonts w:cs="Arial"/>
        </w:rPr>
        <w:t xml:space="preserve">v příloze. </w:t>
      </w:r>
    </w:p>
    <w:p w:rsidR="000443AA" w:rsidRDefault="000443AA" w:rsidP="000443AA">
      <w:pPr>
        <w:spacing w:line="276" w:lineRule="auto"/>
        <w:jc w:val="both"/>
        <w:rPr>
          <w:rFonts w:cs="Arial"/>
        </w:rPr>
      </w:pPr>
    </w:p>
    <w:p w:rsidR="000443AA" w:rsidRDefault="000443AA" w:rsidP="000443AA">
      <w:pPr>
        <w:spacing w:line="276" w:lineRule="auto"/>
        <w:jc w:val="both"/>
        <w:rPr>
          <w:rFonts w:cs="Arial"/>
        </w:rPr>
      </w:pPr>
    </w:p>
    <w:p w:rsidR="000443AA" w:rsidRDefault="000443AA" w:rsidP="000443AA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4A450D">
        <w:rPr>
          <w:rFonts w:cs="Arial"/>
          <w:b/>
          <w:u w:val="single"/>
        </w:rPr>
        <w:t>Dávky pro osoby se zdravotním postižením</w:t>
      </w:r>
      <w:r w:rsidRPr="004A450D">
        <w:rPr>
          <w:rFonts w:cs="Arial"/>
        </w:rPr>
        <w:t xml:space="preserve"> se podílely na celkových sociálních příjmech pouze 0,4 %. </w:t>
      </w:r>
      <w:r>
        <w:rPr>
          <w:rFonts w:cs="Arial"/>
        </w:rPr>
        <w:t>Výdaje na tyto dávky činily</w:t>
      </w:r>
      <w:r w:rsidRPr="004A450D">
        <w:rPr>
          <w:rFonts w:cs="Arial"/>
        </w:rPr>
        <w:t xml:space="preserve"> </w:t>
      </w:r>
      <w:r w:rsidRPr="004A450D">
        <w:rPr>
          <w:rFonts w:cs="Arial"/>
          <w:b/>
        </w:rPr>
        <w:t>0,9 mld. Kč</w:t>
      </w:r>
      <w:r w:rsidRPr="004A450D">
        <w:rPr>
          <w:rFonts w:cs="Arial"/>
        </w:rPr>
        <w:t xml:space="preserve"> (</w:t>
      </w:r>
      <w:r w:rsidRPr="004A450D">
        <w:rPr>
          <w:rFonts w:cs="Arial"/>
          <w:b/>
        </w:rPr>
        <w:t xml:space="preserve">o </w:t>
      </w:r>
      <w:r>
        <w:rPr>
          <w:rFonts w:cs="Arial"/>
          <w:b/>
        </w:rPr>
        <w:t>3</w:t>
      </w:r>
      <w:r w:rsidRPr="004A450D">
        <w:rPr>
          <w:rFonts w:cs="Arial"/>
          <w:b/>
        </w:rPr>
        <w:t>,</w:t>
      </w:r>
      <w:r>
        <w:rPr>
          <w:rFonts w:cs="Arial"/>
          <w:b/>
        </w:rPr>
        <w:t>0</w:t>
      </w:r>
      <w:r w:rsidR="00706F4C">
        <w:rPr>
          <w:rFonts w:cs="Arial"/>
          <w:b/>
        </w:rPr>
        <w:t> </w:t>
      </w:r>
      <w:r w:rsidRPr="004A450D">
        <w:rPr>
          <w:rFonts w:cs="Arial"/>
          <w:b/>
        </w:rPr>
        <w:t xml:space="preserve">% </w:t>
      </w:r>
      <w:r>
        <w:rPr>
          <w:rFonts w:cs="Arial"/>
          <w:b/>
        </w:rPr>
        <w:t>více</w:t>
      </w:r>
      <w:r w:rsidRPr="004A450D">
        <w:rPr>
          <w:rFonts w:cs="Arial"/>
        </w:rPr>
        <w:t xml:space="preserve"> než v 1. pololetí 201</w:t>
      </w:r>
      <w:r>
        <w:rPr>
          <w:rFonts w:cs="Arial"/>
        </w:rPr>
        <w:t>4</w:t>
      </w:r>
      <w:r w:rsidRPr="004A450D">
        <w:rPr>
          <w:rFonts w:cs="Arial"/>
        </w:rPr>
        <w:t xml:space="preserve">). </w:t>
      </w:r>
      <w:r>
        <w:rPr>
          <w:rFonts w:cs="Arial"/>
        </w:rPr>
        <w:t>C</w:t>
      </w:r>
      <w:r w:rsidRPr="004A450D">
        <w:rPr>
          <w:rFonts w:cs="Arial"/>
        </w:rPr>
        <w:t xml:space="preserve">elkem </w:t>
      </w:r>
      <w:r>
        <w:rPr>
          <w:rFonts w:cs="Arial"/>
        </w:rPr>
        <w:t xml:space="preserve">bylo ve sledovaném období </w:t>
      </w:r>
      <w:r w:rsidRPr="004A450D">
        <w:rPr>
          <w:rFonts w:cs="Arial"/>
        </w:rPr>
        <w:t xml:space="preserve">vyplaceno </w:t>
      </w:r>
      <w:r w:rsidRPr="008A6437">
        <w:rPr>
          <w:rFonts w:cs="Arial"/>
        </w:rPr>
        <w:t>3,4 tis. příspěvků na zvláštní pomůcku v celkové výši 378,6 mil.</w:t>
      </w:r>
      <w:r w:rsidR="00706F4C">
        <w:rPr>
          <w:rFonts w:cs="Arial"/>
        </w:rPr>
        <w:t> </w:t>
      </w:r>
      <w:r w:rsidRPr="008A6437">
        <w:rPr>
          <w:rFonts w:cs="Arial"/>
        </w:rPr>
        <w:t xml:space="preserve">Kč (o 2,3 % více). Průměrně bylo měsíčně vyplaceno 237,3 tis. příspěvků na mobilitu, jejich celková výše činila za </w:t>
      </w:r>
      <w:r w:rsidRPr="004A450D">
        <w:rPr>
          <w:rFonts w:cs="Arial"/>
        </w:rPr>
        <w:t>sledované období 5</w:t>
      </w:r>
      <w:r>
        <w:rPr>
          <w:rFonts w:cs="Arial"/>
        </w:rPr>
        <w:t>67</w:t>
      </w:r>
      <w:r w:rsidRPr="004A450D">
        <w:rPr>
          <w:rFonts w:cs="Arial"/>
        </w:rPr>
        <w:t>,</w:t>
      </w:r>
      <w:r>
        <w:rPr>
          <w:rFonts w:cs="Arial"/>
        </w:rPr>
        <w:t>7</w:t>
      </w:r>
      <w:r w:rsidRPr="004A450D">
        <w:rPr>
          <w:rFonts w:cs="Arial"/>
        </w:rPr>
        <w:t>mil. Kč</w:t>
      </w:r>
      <w:r>
        <w:rPr>
          <w:rFonts w:cs="Arial"/>
        </w:rPr>
        <w:t xml:space="preserve"> (o 3,5 % více)</w:t>
      </w:r>
      <w:r w:rsidRPr="004A450D">
        <w:rPr>
          <w:rFonts w:cs="Arial"/>
        </w:rPr>
        <w:t xml:space="preserve"> – viz tabulku </w:t>
      </w:r>
      <w:r w:rsidR="00706F4C">
        <w:rPr>
          <w:rFonts w:cs="Arial"/>
        </w:rPr>
        <w:t xml:space="preserve">č. </w:t>
      </w:r>
      <w:r w:rsidRPr="004A450D">
        <w:rPr>
          <w:rFonts w:cs="Arial"/>
        </w:rPr>
        <w:t>2</w:t>
      </w:r>
      <w:r>
        <w:rPr>
          <w:rFonts w:cs="Arial"/>
        </w:rPr>
        <w:t xml:space="preserve">2 </w:t>
      </w:r>
      <w:r w:rsidRPr="004A450D">
        <w:rPr>
          <w:rFonts w:cs="Arial"/>
        </w:rPr>
        <w:t>v příloze.</w:t>
      </w:r>
    </w:p>
    <w:p w:rsidR="000443AA" w:rsidRDefault="000443AA" w:rsidP="000443AA">
      <w:pPr>
        <w:spacing w:line="360" w:lineRule="auto"/>
        <w:jc w:val="both"/>
        <w:rPr>
          <w:rFonts w:cs="Arial"/>
        </w:rPr>
      </w:pPr>
    </w:p>
    <w:p w:rsidR="00D3208D" w:rsidRPr="00A00CBD" w:rsidRDefault="00D3208D" w:rsidP="00D3208D">
      <w:pPr>
        <w:rPr>
          <w:rFonts w:cs="Arial"/>
          <w:b/>
          <w:iCs/>
          <w:sz w:val="36"/>
          <w:szCs w:val="36"/>
        </w:rPr>
      </w:pPr>
      <w:r w:rsidRPr="00A00CBD">
        <w:rPr>
          <w:rFonts w:cs="Arial"/>
          <w:b/>
          <w:iCs/>
          <w:sz w:val="36"/>
          <w:szCs w:val="36"/>
        </w:rPr>
        <w:lastRenderedPageBreak/>
        <w:t xml:space="preserve">2. Spotřebitelské ceny a životní náklady </w:t>
      </w:r>
    </w:p>
    <w:p w:rsidR="00D3208D" w:rsidRDefault="00D3208D" w:rsidP="00D3208D">
      <w:pPr>
        <w:spacing w:line="360" w:lineRule="auto"/>
        <w:jc w:val="both"/>
        <w:rPr>
          <w:rFonts w:cs="Arial"/>
          <w:b/>
          <w:szCs w:val="36"/>
        </w:rPr>
      </w:pPr>
    </w:p>
    <w:p w:rsidR="00D3208D" w:rsidRPr="00A00CBD" w:rsidRDefault="00D3208D" w:rsidP="00D3208D">
      <w:pPr>
        <w:spacing w:line="360" w:lineRule="auto"/>
        <w:jc w:val="both"/>
        <w:rPr>
          <w:rFonts w:cs="Arial"/>
          <w:b/>
          <w:szCs w:val="36"/>
        </w:rPr>
      </w:pPr>
    </w:p>
    <w:p w:rsidR="00D3208D" w:rsidRPr="00A00CBD" w:rsidRDefault="00D3208D" w:rsidP="00D3208D">
      <w:pPr>
        <w:spacing w:line="360" w:lineRule="auto"/>
        <w:jc w:val="both"/>
        <w:rPr>
          <w:rFonts w:cs="Arial"/>
          <w:bCs/>
          <w:szCs w:val="28"/>
        </w:rPr>
      </w:pPr>
      <w:r w:rsidRPr="00A00CBD">
        <w:rPr>
          <w:rFonts w:cs="Arial"/>
          <w:b/>
          <w:szCs w:val="36"/>
        </w:rPr>
        <w:tab/>
        <w:t xml:space="preserve">Spotřebitelské ceny vzrostly v </w:t>
      </w:r>
      <w:r w:rsidRPr="00A00CBD">
        <w:rPr>
          <w:rFonts w:cs="Arial"/>
          <w:b/>
          <w:szCs w:val="28"/>
        </w:rPr>
        <w:t>úhrnu</w:t>
      </w:r>
      <w:r w:rsidRPr="00A00CBD">
        <w:rPr>
          <w:rFonts w:cs="Arial"/>
          <w:szCs w:val="28"/>
        </w:rPr>
        <w:t xml:space="preserve"> </w:t>
      </w:r>
      <w:r w:rsidRPr="00A00CBD">
        <w:rPr>
          <w:rFonts w:cs="Arial"/>
          <w:b/>
          <w:szCs w:val="28"/>
        </w:rPr>
        <w:t>v lednu – červnu</w:t>
      </w:r>
      <w:r w:rsidRPr="00A00CBD">
        <w:rPr>
          <w:rFonts w:cs="Arial"/>
          <w:szCs w:val="28"/>
        </w:rPr>
        <w:t xml:space="preserve"> letošního roku meziročně </w:t>
      </w:r>
      <w:r w:rsidRPr="00A00CBD">
        <w:rPr>
          <w:rFonts w:cs="Arial"/>
          <w:b/>
          <w:szCs w:val="28"/>
        </w:rPr>
        <w:t>o 0,4 %,</w:t>
      </w:r>
      <w:r w:rsidRPr="00A00CBD">
        <w:rPr>
          <w:rFonts w:cs="Arial"/>
          <w:szCs w:val="28"/>
        </w:rPr>
        <w:t xml:space="preserve"> což bylo o 0,2 p. b. více než v 1. pololetí roku 2014. V období od počátku ledna do </w:t>
      </w:r>
      <w:r w:rsidRPr="00A00CBD">
        <w:rPr>
          <w:rFonts w:cs="Arial"/>
          <w:bCs/>
          <w:szCs w:val="28"/>
        </w:rPr>
        <w:t>konce</w:t>
      </w:r>
      <w:r w:rsidRPr="00A00CBD">
        <w:rPr>
          <w:rFonts w:cs="Arial"/>
          <w:szCs w:val="28"/>
        </w:rPr>
        <w:t xml:space="preserve"> června 2014 vzrostla úhrnná cenová hladina o 1,</w:t>
      </w:r>
      <w:r w:rsidR="0037799A">
        <w:rPr>
          <w:rFonts w:cs="Arial"/>
          <w:szCs w:val="28"/>
        </w:rPr>
        <w:t>1</w:t>
      </w:r>
      <w:r w:rsidRPr="00A00CBD">
        <w:rPr>
          <w:rFonts w:cs="Arial"/>
          <w:szCs w:val="28"/>
        </w:rPr>
        <w:t> %</w:t>
      </w:r>
      <w:r w:rsidRPr="00A00CBD">
        <w:rPr>
          <w:rFonts w:cs="Arial"/>
          <w:b/>
          <w:szCs w:val="28"/>
        </w:rPr>
        <w:t xml:space="preserve"> </w:t>
      </w:r>
      <w:r w:rsidRPr="00E4248A">
        <w:rPr>
          <w:rFonts w:cs="Arial"/>
          <w:bCs/>
          <w:szCs w:val="28"/>
        </w:rPr>
        <w:t xml:space="preserve">(viz tabulky č. 23 a 24), přičemž </w:t>
      </w:r>
      <w:r w:rsidRPr="00A00CBD">
        <w:rPr>
          <w:rFonts w:cs="Arial"/>
          <w:bCs/>
          <w:szCs w:val="28"/>
        </w:rPr>
        <w:t xml:space="preserve">ve 2. čtvrtletí 2015 došlo ke zrychlení všech inflačních charakteristik na úroveň vyšší než před rokem.  </w:t>
      </w:r>
    </w:p>
    <w:p w:rsidR="00257513" w:rsidRPr="00A00CBD" w:rsidRDefault="00257513" w:rsidP="00257513">
      <w:pPr>
        <w:spacing w:line="360" w:lineRule="auto"/>
        <w:jc w:val="both"/>
        <w:rPr>
          <w:rFonts w:cs="Arial"/>
          <w:bCs/>
          <w:szCs w:val="28"/>
        </w:rPr>
      </w:pPr>
    </w:p>
    <w:p w:rsidR="00D3208D" w:rsidRPr="00A00CBD" w:rsidRDefault="00D3208D" w:rsidP="00D3208D">
      <w:pPr>
        <w:ind w:left="708"/>
        <w:jc w:val="both"/>
        <w:rPr>
          <w:rFonts w:cs="Arial"/>
          <w:bCs/>
          <w:szCs w:val="28"/>
        </w:rPr>
      </w:pPr>
      <w:r w:rsidRPr="00A00CBD">
        <w:rPr>
          <w:rFonts w:cs="Arial"/>
          <w:b/>
          <w:bCs/>
          <w:szCs w:val="28"/>
        </w:rPr>
        <w:t>Mezičtvrtletní cenová inflace</w:t>
      </w:r>
      <w:r w:rsidRPr="00A00CBD">
        <w:rPr>
          <w:rFonts w:cs="Arial"/>
          <w:bCs/>
          <w:szCs w:val="28"/>
        </w:rPr>
        <w:t xml:space="preserve"> z 1. čtvrtletí t. r. proti 4. čtvrtletí 2014 (+0,1 %) </w:t>
      </w:r>
      <w:r w:rsidRPr="00A00CBD">
        <w:rPr>
          <w:rFonts w:cs="Arial"/>
          <w:b/>
          <w:bCs/>
          <w:szCs w:val="28"/>
        </w:rPr>
        <w:t>se ve 2. čtvrtletí</w:t>
      </w:r>
      <w:r w:rsidRPr="00A00CBD">
        <w:rPr>
          <w:rFonts w:cs="Arial"/>
          <w:bCs/>
          <w:szCs w:val="28"/>
        </w:rPr>
        <w:t xml:space="preserve"> v obdobném porovnání s lednem – březnem 2015 poměrně výrazně </w:t>
      </w:r>
      <w:r w:rsidRPr="00A00CBD">
        <w:rPr>
          <w:rFonts w:cs="Arial"/>
          <w:b/>
          <w:bCs/>
          <w:szCs w:val="28"/>
        </w:rPr>
        <w:t xml:space="preserve">zvýšila </w:t>
      </w:r>
      <w:r w:rsidRPr="00A00CBD">
        <w:rPr>
          <w:rFonts w:cs="Arial"/>
          <w:bCs/>
          <w:szCs w:val="28"/>
        </w:rPr>
        <w:t>(na +0,6 %), když vzrostly nejvíce sezónní ceny odívání a obuvi, v dopravě (pohonné hmoty), a ve skupině zdraví (vzestup cen lázeňských pobytů). O něco méně než v 1. čtvrtletí podražily také potraviny a nealkoholické nápoje (ovoce, zelenina, zejména brambory). V oblasti bydlení byly ceny v úhrnu ve 2. čtvrtletí nižší než v 1. čtvrtletí, což platilo i pro rekreace, telekomunikace a finanční služby.</w:t>
      </w:r>
    </w:p>
    <w:p w:rsidR="00D3208D" w:rsidRPr="00A00CBD" w:rsidRDefault="00D3208D" w:rsidP="00D3208D">
      <w:pPr>
        <w:spacing w:line="360" w:lineRule="auto"/>
        <w:jc w:val="both"/>
        <w:rPr>
          <w:rFonts w:cs="Arial"/>
          <w:b/>
          <w:szCs w:val="28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6"/>
        <w:gridCol w:w="1523"/>
        <w:gridCol w:w="1559"/>
        <w:gridCol w:w="1418"/>
      </w:tblGrid>
      <w:tr w:rsidR="00D3208D" w:rsidRPr="00A00CBD" w:rsidTr="00F9571A">
        <w:trPr>
          <w:trHeight w:val="458"/>
        </w:trPr>
        <w:tc>
          <w:tcPr>
            <w:tcW w:w="4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208D" w:rsidRPr="00A00CBD" w:rsidRDefault="00D3208D" w:rsidP="00DB24B7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D3208D" w:rsidRPr="00A00CBD" w:rsidRDefault="00D3208D" w:rsidP="00DB24B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 xml:space="preserve">Úhrnný meziroční nárůst (pokles) spotřebitelských cen </w:t>
            </w:r>
          </w:p>
          <w:p w:rsidR="00D3208D" w:rsidRPr="00A00CBD" w:rsidRDefault="00D3208D" w:rsidP="00DB24B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(</w:t>
            </w:r>
            <w:r>
              <w:rPr>
                <w:rFonts w:cs="Arial"/>
                <w:b/>
                <w:bCs/>
                <w:sz w:val="20"/>
              </w:rPr>
              <w:t xml:space="preserve">domácnosti celkem, </w:t>
            </w:r>
            <w:r w:rsidRPr="00A00CBD">
              <w:rPr>
                <w:rFonts w:cs="Arial"/>
                <w:b/>
                <w:bCs/>
                <w:sz w:val="20"/>
              </w:rPr>
              <w:t>v %)</w:t>
            </w:r>
          </w:p>
          <w:p w:rsidR="00D3208D" w:rsidRPr="00A00CBD" w:rsidRDefault="00D3208D" w:rsidP="00DB24B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208D" w:rsidRPr="00A00CBD" w:rsidRDefault="00D3208D" w:rsidP="00DB24B7">
            <w:pPr>
              <w:pStyle w:val="Odstavecseseznamem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:rsidR="00D3208D" w:rsidRPr="00A00CBD" w:rsidRDefault="00D3208D" w:rsidP="00DB24B7">
            <w:pPr>
              <w:pStyle w:val="Odstavecseseznamem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1. pololetí</w:t>
            </w:r>
          </w:p>
          <w:p w:rsidR="00D3208D" w:rsidRPr="00A00CBD" w:rsidRDefault="00D3208D" w:rsidP="00DB24B7">
            <w:pPr>
              <w:pStyle w:val="Odstavecseseznamem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:rsidR="00D3208D" w:rsidRPr="00A00CBD" w:rsidRDefault="00D3208D" w:rsidP="00DB24B7">
            <w:pPr>
              <w:pStyle w:val="Odstavecseseznamem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 xml:space="preserve">  0,4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3208D" w:rsidRPr="00A00CBD" w:rsidRDefault="00D3208D" w:rsidP="00DB24B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V tom:</w:t>
            </w:r>
          </w:p>
        </w:tc>
      </w:tr>
      <w:tr w:rsidR="00D3208D" w:rsidRPr="00A00CBD" w:rsidTr="00F9571A">
        <w:trPr>
          <w:trHeight w:val="457"/>
        </w:trPr>
        <w:tc>
          <w:tcPr>
            <w:tcW w:w="4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08D" w:rsidRPr="00A00CBD" w:rsidRDefault="00D3208D" w:rsidP="00DB24B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2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08D" w:rsidRPr="00A00CBD" w:rsidRDefault="00D3208D" w:rsidP="00DB24B7">
            <w:pPr>
              <w:pStyle w:val="Odstavecseseznamem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3208D" w:rsidRPr="00A00CBD" w:rsidRDefault="00D3208D" w:rsidP="00DB24B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1. čtvrtletí</w:t>
            </w:r>
          </w:p>
          <w:p w:rsidR="00D3208D" w:rsidRPr="00A00CBD" w:rsidRDefault="00D3208D" w:rsidP="00DB24B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 xml:space="preserve">  0,1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3208D" w:rsidRPr="00A00CBD" w:rsidRDefault="00D3208D" w:rsidP="00DB24B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2. čtvrtletí</w:t>
            </w:r>
          </w:p>
          <w:p w:rsidR="00D3208D" w:rsidRPr="00A00CBD" w:rsidRDefault="00D3208D" w:rsidP="00DB24B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 xml:space="preserve">  0,7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 xml:space="preserve">V tom: Alkoholické nápoje, tabák 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+4,4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+3,4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+5,4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Odívání a obuv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+4,0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+4,5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+3,5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Ostatní zboží a služby (zejména finanční. platby)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+2,3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+2,4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+2,1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Stravování a ubytování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+1,6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+1,7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+1,6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Bydlení, voda, energie, paliva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+ 1,2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+1,1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+1,2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Vzdělávání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+1,1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 xml:space="preserve"> + 1,2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+1,1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Rekreace a kultura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+0,9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+0,8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+1,0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Bytové vybavení, zařízení domácnosti, opravy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+0,1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-0,1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+0,2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Potraviny a nealkoholické nápoje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- 0,9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- 1,6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- 0,1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Pošty a telekomunikace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- 2,0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- 2,1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-1,9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Doprava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- 4,1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 xml:space="preserve"> - 4,9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-3,3</w:t>
            </w:r>
          </w:p>
        </w:tc>
      </w:tr>
      <w:tr w:rsidR="00D3208D" w:rsidRPr="00A00CBD" w:rsidTr="00F9571A">
        <w:trPr>
          <w:trHeight w:val="454"/>
        </w:trPr>
        <w:tc>
          <w:tcPr>
            <w:tcW w:w="4786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Zdraví</w:t>
            </w:r>
          </w:p>
        </w:tc>
        <w:tc>
          <w:tcPr>
            <w:tcW w:w="1523" w:type="dxa"/>
            <w:tcBorders>
              <w:left w:val="double" w:sz="4" w:space="0" w:color="auto"/>
            </w:tcBorders>
            <w:vAlign w:val="bottom"/>
          </w:tcPr>
          <w:p w:rsidR="00D3208D" w:rsidRPr="00A00CBD" w:rsidRDefault="00D3208D" w:rsidP="00DB24B7">
            <w:pPr>
              <w:pStyle w:val="Odstavecseseznamem"/>
              <w:spacing w:line="36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A00CBD">
              <w:rPr>
                <w:rFonts w:cs="Arial"/>
                <w:b/>
                <w:bCs/>
                <w:sz w:val="20"/>
              </w:rPr>
              <w:t>- 6,7</w:t>
            </w:r>
          </w:p>
        </w:tc>
        <w:tc>
          <w:tcPr>
            <w:tcW w:w="1559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- 6,6</w:t>
            </w:r>
          </w:p>
        </w:tc>
        <w:tc>
          <w:tcPr>
            <w:tcW w:w="1418" w:type="dxa"/>
            <w:vAlign w:val="bottom"/>
          </w:tcPr>
          <w:p w:rsidR="00D3208D" w:rsidRPr="00A00CBD" w:rsidRDefault="00D3208D" w:rsidP="00DB24B7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00CBD">
              <w:rPr>
                <w:rFonts w:cs="Arial"/>
                <w:bCs/>
                <w:sz w:val="20"/>
              </w:rPr>
              <w:t>-6,8</w:t>
            </w:r>
          </w:p>
        </w:tc>
      </w:tr>
    </w:tbl>
    <w:p w:rsidR="00D3208D" w:rsidRDefault="00D3208D" w:rsidP="00F9571A">
      <w:pPr>
        <w:jc w:val="both"/>
        <w:rPr>
          <w:rFonts w:cs="Arial"/>
          <w:bCs/>
          <w:sz w:val="20"/>
        </w:rPr>
      </w:pPr>
    </w:p>
    <w:p w:rsidR="00D3208D" w:rsidRPr="00A00CBD" w:rsidRDefault="00D3208D" w:rsidP="00F9571A">
      <w:pPr>
        <w:jc w:val="both"/>
        <w:rPr>
          <w:rFonts w:cs="Arial"/>
          <w:bCs/>
          <w:sz w:val="20"/>
        </w:rPr>
      </w:pPr>
      <w:r w:rsidRPr="00A00CBD">
        <w:rPr>
          <w:rFonts w:cs="Arial"/>
          <w:bCs/>
          <w:sz w:val="20"/>
        </w:rPr>
        <w:t>Zpracováno z dat ČSÚ, které zahrnují i podskupiny spotřebního koše – viz výkaz „Spotřebitelské ceny (životní náklady) za červen 2015 – podrobné členění</w:t>
      </w:r>
    </w:p>
    <w:p w:rsidR="00D3208D" w:rsidRPr="00A00CBD" w:rsidRDefault="00D3208D" w:rsidP="00F9571A">
      <w:pPr>
        <w:spacing w:line="360" w:lineRule="auto"/>
        <w:jc w:val="both"/>
        <w:rPr>
          <w:rFonts w:cs="Arial"/>
          <w:szCs w:val="28"/>
        </w:rPr>
      </w:pPr>
      <w:r>
        <w:rPr>
          <w:rFonts w:cs="Arial"/>
        </w:rPr>
        <w:lastRenderedPageBreak/>
        <w:tab/>
      </w:r>
      <w:r>
        <w:t xml:space="preserve">Jak vyplývá z předcházející tabulky, </w:t>
      </w:r>
      <w:r>
        <w:rPr>
          <w:rFonts w:cs="Arial"/>
          <w:b/>
          <w:szCs w:val="28"/>
        </w:rPr>
        <w:t>k</w:t>
      </w:r>
      <w:r w:rsidRPr="00A00CBD">
        <w:rPr>
          <w:rFonts w:cs="Arial"/>
          <w:b/>
          <w:szCs w:val="28"/>
        </w:rPr>
        <w:t> průměrnému meziročnímu přírůstku</w:t>
      </w:r>
      <w:r w:rsidRPr="00A00CBD">
        <w:rPr>
          <w:rFonts w:cs="Arial"/>
          <w:szCs w:val="28"/>
        </w:rPr>
        <w:t xml:space="preserve"> úhrnného indexu </w:t>
      </w:r>
      <w:r w:rsidRPr="00A00CBD">
        <w:rPr>
          <w:rFonts w:cs="Arial"/>
          <w:b/>
          <w:szCs w:val="28"/>
        </w:rPr>
        <w:t>spotřebitelských cen</w:t>
      </w:r>
      <w:r w:rsidRPr="00A00CBD">
        <w:rPr>
          <w:rFonts w:cs="Arial"/>
          <w:szCs w:val="28"/>
        </w:rPr>
        <w:t xml:space="preserve"> </w:t>
      </w:r>
      <w:r w:rsidRPr="00A00CBD">
        <w:rPr>
          <w:rFonts w:cs="Arial"/>
          <w:b/>
          <w:szCs w:val="28"/>
        </w:rPr>
        <w:t>přispěly</w:t>
      </w:r>
      <w:r w:rsidRPr="00A00CBD">
        <w:rPr>
          <w:rFonts w:cs="Arial"/>
          <w:szCs w:val="28"/>
        </w:rPr>
        <w:t xml:space="preserve"> v</w:t>
      </w:r>
      <w:r>
        <w:rPr>
          <w:rFonts w:cs="Arial"/>
          <w:szCs w:val="28"/>
        </w:rPr>
        <w:t> </w:t>
      </w:r>
      <w:r w:rsidRPr="00A00CBD">
        <w:rPr>
          <w:rFonts w:cs="Arial"/>
          <w:szCs w:val="28"/>
        </w:rPr>
        <w:t xml:space="preserve"> 1.</w:t>
      </w:r>
      <w:r>
        <w:rPr>
          <w:rFonts w:cs="Arial"/>
          <w:szCs w:val="28"/>
        </w:rPr>
        <w:t> </w:t>
      </w:r>
      <w:r w:rsidRPr="00A00CBD">
        <w:rPr>
          <w:rFonts w:cs="Arial"/>
          <w:szCs w:val="28"/>
        </w:rPr>
        <w:t xml:space="preserve">pololetí 2015 i v jeho čtvrtletích jednotlivé agregované </w:t>
      </w:r>
      <w:r w:rsidRPr="00A00CBD">
        <w:rPr>
          <w:rFonts w:cs="Arial"/>
          <w:b/>
          <w:szCs w:val="28"/>
        </w:rPr>
        <w:t>„výdajové“ skupiny</w:t>
      </w:r>
      <w:r w:rsidRPr="00A00CBD">
        <w:rPr>
          <w:rFonts w:cs="Arial"/>
          <w:szCs w:val="28"/>
        </w:rPr>
        <w:t xml:space="preserve"> celého spotřebního koše</w:t>
      </w:r>
      <w:r>
        <w:rPr>
          <w:rFonts w:cs="Arial"/>
          <w:szCs w:val="28"/>
        </w:rPr>
        <w:t xml:space="preserve"> </w:t>
      </w:r>
      <w:r w:rsidRPr="00551A87">
        <w:rPr>
          <w:rFonts w:cs="Arial"/>
          <w:b/>
          <w:szCs w:val="28"/>
        </w:rPr>
        <w:t>v různé intenzitě</w:t>
      </w:r>
      <w:r w:rsidRPr="00A00CBD">
        <w:rPr>
          <w:rFonts w:cs="Arial"/>
          <w:szCs w:val="28"/>
        </w:rPr>
        <w:t xml:space="preserve"> (</w:t>
      </w:r>
      <w:r>
        <w:rPr>
          <w:rFonts w:cs="Arial"/>
          <w:szCs w:val="28"/>
        </w:rPr>
        <w:t xml:space="preserve">údaje byly </w:t>
      </w:r>
      <w:r w:rsidRPr="00A00CBD">
        <w:rPr>
          <w:rFonts w:cs="Arial"/>
          <w:szCs w:val="28"/>
        </w:rPr>
        <w:t>zaokrouhlen</w:t>
      </w:r>
      <w:r>
        <w:rPr>
          <w:rFonts w:cs="Arial"/>
          <w:szCs w:val="28"/>
        </w:rPr>
        <w:t>y</w:t>
      </w:r>
      <w:r w:rsidRPr="00A00CBD">
        <w:rPr>
          <w:rFonts w:cs="Arial"/>
          <w:szCs w:val="28"/>
        </w:rPr>
        <w:t xml:space="preserve"> na 1 desetinné místo)</w:t>
      </w:r>
      <w:r>
        <w:rPr>
          <w:rFonts w:cs="Arial"/>
          <w:szCs w:val="28"/>
        </w:rPr>
        <w:t>.</w:t>
      </w:r>
    </w:p>
    <w:p w:rsidR="00D3208D" w:rsidRDefault="00D3208D" w:rsidP="00F9571A">
      <w:pPr>
        <w:spacing w:line="360" w:lineRule="auto"/>
        <w:jc w:val="both"/>
        <w:rPr>
          <w:rFonts w:cs="Arial"/>
          <w:bCs/>
          <w:szCs w:val="28"/>
        </w:rPr>
      </w:pPr>
    </w:p>
    <w:p w:rsidR="00257513" w:rsidRDefault="00257513" w:rsidP="00F9571A">
      <w:pPr>
        <w:spacing w:line="360" w:lineRule="auto"/>
        <w:jc w:val="both"/>
        <w:rPr>
          <w:rFonts w:cs="Arial"/>
          <w:bCs/>
          <w:szCs w:val="28"/>
        </w:rPr>
      </w:pPr>
    </w:p>
    <w:p w:rsidR="00D3208D" w:rsidRPr="00A00CBD" w:rsidRDefault="00D3208D" w:rsidP="00F9571A">
      <w:pPr>
        <w:spacing w:line="360" w:lineRule="auto"/>
        <w:jc w:val="both"/>
        <w:rPr>
          <w:b/>
          <w:bCs/>
        </w:rPr>
      </w:pPr>
      <w:r>
        <w:rPr>
          <w:rFonts w:cs="Arial"/>
        </w:rPr>
        <w:tab/>
      </w:r>
      <w:r w:rsidRPr="00A00CBD">
        <w:t>V důsledku výše uvedených skutečností</w:t>
      </w:r>
      <w:r w:rsidRPr="00A00CBD">
        <w:rPr>
          <w:b/>
          <w:bCs/>
        </w:rPr>
        <w:t xml:space="preserve"> meziroční dynamika růstu spotřebitelských cen </w:t>
      </w:r>
      <w:r w:rsidRPr="00A00CBD">
        <w:rPr>
          <w:bCs/>
        </w:rPr>
        <w:t>(životních nákladů)</w:t>
      </w:r>
      <w:r w:rsidRPr="00A00CBD">
        <w:rPr>
          <w:b/>
          <w:bCs/>
        </w:rPr>
        <w:t xml:space="preserve"> </w:t>
      </w:r>
      <w:r w:rsidRPr="00A00CBD">
        <w:rPr>
          <w:bCs/>
        </w:rPr>
        <w:t>konkrétních</w:t>
      </w:r>
      <w:r w:rsidRPr="00A00CBD">
        <w:rPr>
          <w:b/>
          <w:bCs/>
        </w:rPr>
        <w:t xml:space="preserve"> statisticky sledovaných domácností </w:t>
      </w:r>
      <w:r w:rsidRPr="00A00CBD">
        <w:rPr>
          <w:b/>
        </w:rPr>
        <w:t>proti 1. pololetí 2014 vzrostla</w:t>
      </w:r>
      <w:r w:rsidRPr="00A00CBD">
        <w:rPr>
          <w:b/>
          <w:bCs/>
        </w:rPr>
        <w:t>:</w:t>
      </w:r>
    </w:p>
    <w:p w:rsidR="00D3208D" w:rsidRPr="00A00CBD" w:rsidRDefault="00D3208D" w:rsidP="00F9571A">
      <w:pPr>
        <w:spacing w:line="360" w:lineRule="auto"/>
        <w:ind w:firstLine="708"/>
        <w:jc w:val="both"/>
        <w:rPr>
          <w:b/>
          <w:bCs/>
        </w:rPr>
      </w:pPr>
    </w:p>
    <w:p w:rsidR="00D3208D" w:rsidRPr="00A00CBD" w:rsidRDefault="00D3208D" w:rsidP="00F9571A">
      <w:pPr>
        <w:numPr>
          <w:ilvl w:val="0"/>
          <w:numId w:val="16"/>
        </w:numPr>
        <w:spacing w:after="120" w:line="360" w:lineRule="auto"/>
        <w:jc w:val="both"/>
        <w:rPr>
          <w:bCs/>
        </w:rPr>
      </w:pPr>
      <w:r w:rsidRPr="00A00CBD">
        <w:rPr>
          <w:b/>
          <w:bCs/>
        </w:rPr>
        <w:t>u domácností důchodců se životní náklady</w:t>
      </w:r>
      <w:r w:rsidRPr="00A00CBD">
        <w:t xml:space="preserve"> </w:t>
      </w:r>
      <w:r w:rsidRPr="00A00CBD">
        <w:rPr>
          <w:b/>
          <w:bCs/>
        </w:rPr>
        <w:t xml:space="preserve">o 0,1 % zvýšily </w:t>
      </w:r>
      <w:r w:rsidRPr="00A00CBD">
        <w:rPr>
          <w:bCs/>
        </w:rPr>
        <w:t xml:space="preserve">(před rokem o 0,2 % klesly). </w:t>
      </w:r>
      <w:r w:rsidRPr="00A00CBD">
        <w:rPr>
          <w:b/>
          <w:bCs/>
        </w:rPr>
        <w:t>Příčinou</w:t>
      </w:r>
      <w:r w:rsidRPr="00A00CBD">
        <w:rPr>
          <w:bCs/>
        </w:rPr>
        <w:t xml:space="preserve"> byl vývoj ve </w:t>
      </w:r>
      <w:r w:rsidRPr="00A00CBD">
        <w:rPr>
          <w:b/>
          <w:bCs/>
        </w:rPr>
        <w:t>struktuře</w:t>
      </w:r>
      <w:r w:rsidRPr="00A00CBD">
        <w:rPr>
          <w:bCs/>
        </w:rPr>
        <w:t xml:space="preserve"> jejich </w:t>
      </w:r>
      <w:r w:rsidRPr="00A00CBD">
        <w:rPr>
          <w:b/>
          <w:bCs/>
        </w:rPr>
        <w:t>spotřebního koše</w:t>
      </w:r>
      <w:r w:rsidRPr="00A00CBD">
        <w:rPr>
          <w:bCs/>
        </w:rPr>
        <w:t xml:space="preserve"> s dominantním postavením </w:t>
      </w:r>
      <w:r w:rsidRPr="00A00CBD">
        <w:rPr>
          <w:b/>
          <w:bCs/>
        </w:rPr>
        <w:t xml:space="preserve">výživy </w:t>
      </w:r>
      <w:r w:rsidRPr="00A00CBD">
        <w:rPr>
          <w:bCs/>
        </w:rPr>
        <w:t>(výraznější zdražení brambor a zeleniny), a </w:t>
      </w:r>
      <w:r w:rsidRPr="00A00CBD">
        <w:rPr>
          <w:b/>
          <w:bCs/>
        </w:rPr>
        <w:t>vysoký podíl výdajů za</w:t>
      </w:r>
      <w:r w:rsidRPr="00A00CBD">
        <w:rPr>
          <w:bCs/>
        </w:rPr>
        <w:t xml:space="preserve"> </w:t>
      </w:r>
      <w:r w:rsidRPr="00A00CBD">
        <w:rPr>
          <w:b/>
          <w:bCs/>
        </w:rPr>
        <w:t>bydlení</w:t>
      </w:r>
      <w:r w:rsidRPr="00A00CBD">
        <w:rPr>
          <w:bCs/>
        </w:rPr>
        <w:t xml:space="preserve"> (index 101,6 % proti poklesu o 3,8 % před rokem), což </w:t>
      </w:r>
      <w:r w:rsidRPr="00A00CBD">
        <w:rPr>
          <w:b/>
          <w:bCs/>
        </w:rPr>
        <w:t>nevyrovnal ani pokles výdajů na léky a zdravotní péči</w:t>
      </w:r>
      <w:r w:rsidRPr="00A00CBD">
        <w:rPr>
          <w:bCs/>
        </w:rPr>
        <w:t xml:space="preserve"> (index 89,2 % – zejména vlivem zrušení poplatků ve zdravotnictví),</w:t>
      </w:r>
    </w:p>
    <w:p w:rsidR="00D3208D" w:rsidRPr="00A00CBD" w:rsidRDefault="00D3208D" w:rsidP="00F9571A">
      <w:pPr>
        <w:numPr>
          <w:ilvl w:val="0"/>
          <w:numId w:val="16"/>
        </w:numPr>
        <w:spacing w:line="360" w:lineRule="auto"/>
        <w:jc w:val="both"/>
        <w:rPr>
          <w:b/>
          <w:bCs/>
        </w:rPr>
      </w:pPr>
      <w:r w:rsidRPr="00A00CBD">
        <w:rPr>
          <w:b/>
          <w:bCs/>
        </w:rPr>
        <w:t>v hl. m. Praze</w:t>
      </w:r>
      <w:r w:rsidRPr="00A00CBD">
        <w:t xml:space="preserve"> bylo navýšení relativně nejvyšší a činilo </w:t>
      </w:r>
      <w:r w:rsidRPr="00A00CBD">
        <w:rPr>
          <w:b/>
        </w:rPr>
        <w:t>0,7 </w:t>
      </w:r>
      <w:r w:rsidRPr="00A00CBD">
        <w:rPr>
          <w:b/>
          <w:bCs/>
        </w:rPr>
        <w:t xml:space="preserve">%, při menším poklesu nákladů na potraviny a nealkoholické nápoje </w:t>
      </w:r>
      <w:r w:rsidRPr="00A00CBD">
        <w:rPr>
          <w:bCs/>
        </w:rPr>
        <w:t xml:space="preserve">byl vykázán nižší růst cen </w:t>
      </w:r>
      <w:r w:rsidRPr="00A00CBD">
        <w:rPr>
          <w:b/>
          <w:bCs/>
        </w:rPr>
        <w:t>bydlení</w:t>
      </w:r>
      <w:r w:rsidRPr="00A00CBD">
        <w:rPr>
          <w:bCs/>
        </w:rPr>
        <w:t xml:space="preserve"> (při výrazně vyšším nárůstu cen tepla oproti průměru naopak více zlevnily v Praze elektřina, plyn a nájemné) – podrobnější data obsahují tabulky č. 22 a 23 v příloze.</w:t>
      </w:r>
    </w:p>
    <w:p w:rsidR="00D3208D" w:rsidRDefault="00D3208D" w:rsidP="00F9571A">
      <w:pPr>
        <w:spacing w:line="360" w:lineRule="auto"/>
        <w:jc w:val="both"/>
      </w:pPr>
    </w:p>
    <w:p w:rsidR="00257513" w:rsidRPr="00A00CBD" w:rsidRDefault="00257513" w:rsidP="00F9571A">
      <w:pPr>
        <w:spacing w:line="360" w:lineRule="auto"/>
        <w:jc w:val="both"/>
      </w:pPr>
    </w:p>
    <w:p w:rsidR="00D3208D" w:rsidRPr="00A00CBD" w:rsidRDefault="00D3208D" w:rsidP="00F9571A">
      <w:pPr>
        <w:spacing w:line="360" w:lineRule="auto"/>
        <w:jc w:val="both"/>
      </w:pPr>
      <w:r w:rsidRPr="00A00CBD">
        <w:tab/>
      </w:r>
      <w:r w:rsidRPr="00A00CBD">
        <w:rPr>
          <w:b/>
          <w:bCs/>
        </w:rPr>
        <w:t>Harmonizovaný index</w:t>
      </w:r>
      <w:r w:rsidRPr="00A00CBD">
        <w:t xml:space="preserve"> spotřebitelských </w:t>
      </w:r>
      <w:r w:rsidRPr="00A00CBD">
        <w:rPr>
          <w:b/>
          <w:bCs/>
        </w:rPr>
        <w:t xml:space="preserve">cen </w:t>
      </w:r>
      <w:r w:rsidRPr="00A00CBD">
        <w:t xml:space="preserve">(cenový index propočtený podle jednotné metodiky EU pro potřeby porovnání inflace v jednotlivých členských zemích) převýšil </w:t>
      </w:r>
      <w:r w:rsidRPr="00A00CBD">
        <w:rPr>
          <w:bCs/>
        </w:rPr>
        <w:t xml:space="preserve">v červnu letošního roku (meziročně) </w:t>
      </w:r>
      <w:r w:rsidRPr="00A00CBD">
        <w:rPr>
          <w:b/>
          <w:bCs/>
        </w:rPr>
        <w:t>v ČR</w:t>
      </w:r>
      <w:r w:rsidRPr="00A00CBD">
        <w:rPr>
          <w:bCs/>
        </w:rPr>
        <w:t xml:space="preserve"> průměrnou úroveň EU (100,1 %) o 0,8 p. b.</w:t>
      </w:r>
      <w:r w:rsidRPr="00A00CBD">
        <w:rPr>
          <w:b/>
          <w:bCs/>
        </w:rPr>
        <w:t xml:space="preserve"> a činil 100,9 % </w:t>
      </w:r>
      <w:r w:rsidRPr="00A00CBD">
        <w:rPr>
          <w:bCs/>
        </w:rPr>
        <w:t>(před rokem stagnace).</w:t>
      </w:r>
      <w:r w:rsidRPr="00A00CBD">
        <w:rPr>
          <w:b/>
          <w:bCs/>
        </w:rPr>
        <w:t xml:space="preserve"> </w:t>
      </w:r>
      <w:r w:rsidRPr="00A00CBD">
        <w:rPr>
          <w:bCs/>
        </w:rPr>
        <w:t>Trend několika posledních let se tak změnil v neprospěch ČR.</w:t>
      </w:r>
    </w:p>
    <w:p w:rsidR="00D3208D" w:rsidRDefault="00D3208D" w:rsidP="00F9571A">
      <w:pPr>
        <w:spacing w:line="360" w:lineRule="auto"/>
        <w:jc w:val="both"/>
      </w:pPr>
    </w:p>
    <w:p w:rsidR="00D3208D" w:rsidRDefault="00D3208D" w:rsidP="00F9571A">
      <w:pPr>
        <w:spacing w:line="360" w:lineRule="auto"/>
        <w:jc w:val="both"/>
      </w:pPr>
    </w:p>
    <w:p w:rsidR="00D3208D" w:rsidRDefault="00D3208D" w:rsidP="00F9571A">
      <w:pPr>
        <w:spacing w:line="360" w:lineRule="auto"/>
        <w:jc w:val="both"/>
      </w:pPr>
    </w:p>
    <w:p w:rsidR="00D3208D" w:rsidRDefault="00D3208D" w:rsidP="00F9571A">
      <w:pPr>
        <w:spacing w:line="360" w:lineRule="auto"/>
        <w:jc w:val="both"/>
      </w:pPr>
    </w:p>
    <w:p w:rsidR="00D3208D" w:rsidRDefault="00D3208D" w:rsidP="00F9571A">
      <w:pPr>
        <w:spacing w:line="360" w:lineRule="auto"/>
        <w:jc w:val="both"/>
      </w:pPr>
    </w:p>
    <w:p w:rsidR="00BF424C" w:rsidRDefault="00BF424C" w:rsidP="00F9571A">
      <w:pPr>
        <w:spacing w:line="360" w:lineRule="auto"/>
        <w:jc w:val="both"/>
        <w:rPr>
          <w:b/>
          <w:bCs/>
          <w:sz w:val="36"/>
        </w:rPr>
      </w:pPr>
      <w:r w:rsidRPr="004423E3">
        <w:rPr>
          <w:b/>
          <w:bCs/>
          <w:sz w:val="36"/>
        </w:rPr>
        <w:lastRenderedPageBreak/>
        <w:t>3. Peněžní výdaje, úvěry a úspory domácností</w:t>
      </w:r>
    </w:p>
    <w:p w:rsidR="00874B49" w:rsidRPr="009516A8" w:rsidRDefault="00874B49" w:rsidP="00F9571A">
      <w:pPr>
        <w:spacing w:line="360" w:lineRule="auto"/>
        <w:jc w:val="both"/>
        <w:rPr>
          <w:bCs/>
          <w:szCs w:val="32"/>
        </w:rPr>
      </w:pPr>
    </w:p>
    <w:p w:rsidR="00BF424C" w:rsidRPr="00926775" w:rsidRDefault="00BF424C" w:rsidP="00F9571A">
      <w:pPr>
        <w:spacing w:line="360" w:lineRule="auto"/>
        <w:jc w:val="both"/>
        <w:rPr>
          <w:b/>
          <w:bCs/>
          <w:i/>
          <w:sz w:val="32"/>
          <w:szCs w:val="32"/>
        </w:rPr>
      </w:pPr>
      <w:r w:rsidRPr="00926775">
        <w:rPr>
          <w:b/>
          <w:bCs/>
          <w:i/>
          <w:sz w:val="32"/>
          <w:szCs w:val="32"/>
        </w:rPr>
        <w:t>3.1</w:t>
      </w:r>
      <w:r>
        <w:rPr>
          <w:b/>
          <w:bCs/>
          <w:i/>
          <w:sz w:val="32"/>
          <w:szCs w:val="32"/>
        </w:rPr>
        <w:t xml:space="preserve"> </w:t>
      </w:r>
      <w:r w:rsidRPr="00926775">
        <w:rPr>
          <w:b/>
          <w:bCs/>
          <w:i/>
          <w:sz w:val="32"/>
          <w:szCs w:val="32"/>
        </w:rPr>
        <w:t>Peněžní výdaje</w:t>
      </w:r>
    </w:p>
    <w:p w:rsidR="00BF424C" w:rsidRPr="004423E3" w:rsidRDefault="00BF424C" w:rsidP="00F9571A">
      <w:pPr>
        <w:spacing w:line="360" w:lineRule="auto"/>
        <w:jc w:val="both"/>
      </w:pPr>
    </w:p>
    <w:p w:rsidR="00BF424C" w:rsidRPr="00ED4ED8" w:rsidRDefault="00BF424C" w:rsidP="00F9571A">
      <w:pPr>
        <w:spacing w:line="360" w:lineRule="auto"/>
        <w:jc w:val="both"/>
      </w:pPr>
      <w:r w:rsidRPr="004423E3">
        <w:tab/>
      </w:r>
      <w:r>
        <w:t>V makroekonomickém pohledu rychleji než před rokem rostly</w:t>
      </w:r>
      <w:r w:rsidRPr="004423E3">
        <w:rPr>
          <w:b/>
        </w:rPr>
        <w:t xml:space="preserve"> výdaj</w:t>
      </w:r>
      <w:r>
        <w:rPr>
          <w:b/>
        </w:rPr>
        <w:t>e</w:t>
      </w:r>
      <w:r w:rsidRPr="004423E3">
        <w:rPr>
          <w:b/>
        </w:rPr>
        <w:t xml:space="preserve"> na </w:t>
      </w:r>
      <w:r>
        <w:rPr>
          <w:b/>
        </w:rPr>
        <w:t xml:space="preserve">individuální </w:t>
      </w:r>
      <w:r w:rsidRPr="004423E3">
        <w:rPr>
          <w:b/>
        </w:rPr>
        <w:t>spotřebu</w:t>
      </w:r>
      <w:r>
        <w:t xml:space="preserve">, přičemž jejich </w:t>
      </w:r>
      <w:r w:rsidRPr="004423E3">
        <w:t xml:space="preserve">podíl na přírůstku HDP představoval </w:t>
      </w:r>
      <w:r>
        <w:t xml:space="preserve">nadále </w:t>
      </w:r>
      <w:r w:rsidRPr="00ED4ED8">
        <w:t>jednu třetinu.</w:t>
      </w:r>
    </w:p>
    <w:p w:rsidR="00874B49" w:rsidRDefault="00874B49" w:rsidP="00257513">
      <w:pPr>
        <w:spacing w:line="360" w:lineRule="auto"/>
        <w:jc w:val="both"/>
      </w:pPr>
    </w:p>
    <w:p w:rsidR="00257513" w:rsidRPr="004423E3" w:rsidRDefault="00257513" w:rsidP="00257513">
      <w:pPr>
        <w:spacing w:line="360" w:lineRule="auto"/>
        <w:jc w:val="both"/>
      </w:pPr>
    </w:p>
    <w:p w:rsidR="00BF424C" w:rsidRPr="004423E3" w:rsidRDefault="00BF424C" w:rsidP="00F9571A">
      <w:pPr>
        <w:spacing w:after="240" w:line="360" w:lineRule="auto"/>
        <w:jc w:val="both"/>
      </w:pPr>
      <w:r w:rsidRPr="004423E3">
        <w:tab/>
      </w:r>
      <w:r>
        <w:t xml:space="preserve">Projevily se zejména </w:t>
      </w:r>
      <w:r w:rsidRPr="004423E3">
        <w:t xml:space="preserve">tyto </w:t>
      </w:r>
      <w:r w:rsidRPr="004423E3">
        <w:rPr>
          <w:b/>
        </w:rPr>
        <w:t>základní tendence:</w:t>
      </w:r>
    </w:p>
    <w:p w:rsidR="00BF424C" w:rsidRPr="00B64356" w:rsidRDefault="00BF424C" w:rsidP="00F9571A">
      <w:pPr>
        <w:numPr>
          <w:ilvl w:val="0"/>
          <w:numId w:val="18"/>
        </w:numPr>
        <w:tabs>
          <w:tab w:val="clear" w:pos="130"/>
          <w:tab w:val="num" w:pos="490"/>
        </w:tabs>
        <w:spacing w:after="240" w:line="360" w:lineRule="auto"/>
        <w:ind w:left="709"/>
        <w:jc w:val="both"/>
        <w:rPr>
          <w:b/>
          <w:bCs/>
        </w:rPr>
      </w:pPr>
      <w:r w:rsidRPr="00B64356">
        <w:rPr>
          <w:b/>
          <w:bCs/>
        </w:rPr>
        <w:t xml:space="preserve">sektor domácností vynaložil </w:t>
      </w:r>
      <w:r w:rsidRPr="00B64356">
        <w:rPr>
          <w:b/>
        </w:rPr>
        <w:t>1 018,0 m</w:t>
      </w:r>
      <w:r w:rsidRPr="00B64356">
        <w:rPr>
          <w:b/>
          <w:bCs/>
        </w:rPr>
        <w:t xml:space="preserve">ld. Kč na výdaje spojené s individuální spotřebou, </w:t>
      </w:r>
      <w:r w:rsidRPr="00802673">
        <w:rPr>
          <w:bCs/>
        </w:rPr>
        <w:t>tj.</w:t>
      </w:r>
      <w:r w:rsidRPr="00B64356">
        <w:rPr>
          <w:b/>
          <w:bCs/>
        </w:rPr>
        <w:t xml:space="preserve"> </w:t>
      </w:r>
      <w:r w:rsidRPr="00B64356">
        <w:t>o 3,2 % (32,0</w:t>
      </w:r>
      <w:r>
        <w:t> </w:t>
      </w:r>
      <w:r w:rsidRPr="00B64356">
        <w:t>mld.</w:t>
      </w:r>
      <w:r>
        <w:t> </w:t>
      </w:r>
      <w:r w:rsidRPr="00B64356">
        <w:t>Kč) více než o rok dříve</w:t>
      </w:r>
      <w:r w:rsidRPr="00B64356">
        <w:rPr>
          <w:bCs/>
        </w:rPr>
        <w:t>;</w:t>
      </w:r>
      <w:r w:rsidRPr="00B64356">
        <w:t xml:space="preserve"> </w:t>
      </w:r>
      <w:r w:rsidRPr="00B64356">
        <w:rPr>
          <w:b/>
        </w:rPr>
        <w:t>domácnosti</w:t>
      </w:r>
      <w:r w:rsidRPr="00B64356">
        <w:t xml:space="preserve"> tak – po zohlednění cenové inflace – </w:t>
      </w:r>
      <w:r w:rsidRPr="00B64356">
        <w:rPr>
          <w:b/>
        </w:rPr>
        <w:t>nakoupily zboží a služeb</w:t>
      </w:r>
      <w:r>
        <w:t xml:space="preserve"> reálně o cca</w:t>
      </w:r>
      <w:r w:rsidRPr="00B64356">
        <w:t xml:space="preserve"> 2</w:t>
      </w:r>
      <w:r>
        <w:t>7</w:t>
      </w:r>
      <w:r w:rsidRPr="00B64356">
        <w:t>,</w:t>
      </w:r>
      <w:r>
        <w:t>9 </w:t>
      </w:r>
      <w:r w:rsidRPr="00B64356">
        <w:t>mld.</w:t>
      </w:r>
      <w:r>
        <w:t> </w:t>
      </w:r>
      <w:r w:rsidRPr="00B64356">
        <w:t xml:space="preserve">Kč </w:t>
      </w:r>
      <w:r w:rsidRPr="00B64356">
        <w:rPr>
          <w:b/>
        </w:rPr>
        <w:t>více</w:t>
      </w:r>
      <w:r w:rsidRPr="00B64356">
        <w:t xml:space="preserve"> než před rokem (viz tabulku č.</w:t>
      </w:r>
      <w:r>
        <w:t> </w:t>
      </w:r>
      <w:r w:rsidRPr="00B64356">
        <w:t>1 v příloze),</w:t>
      </w:r>
    </w:p>
    <w:p w:rsidR="00BF424C" w:rsidRPr="00D66D1D" w:rsidRDefault="00BF424C" w:rsidP="00F9571A">
      <w:pPr>
        <w:pStyle w:val="Odstavecseseznamem"/>
        <w:numPr>
          <w:ilvl w:val="0"/>
          <w:numId w:val="18"/>
        </w:numPr>
        <w:tabs>
          <w:tab w:val="clear" w:pos="130"/>
        </w:tabs>
        <w:spacing w:after="240" w:line="360" w:lineRule="auto"/>
        <w:ind w:left="709"/>
        <w:jc w:val="both"/>
      </w:pPr>
      <w:r w:rsidRPr="00D66D1D">
        <w:rPr>
          <w:b/>
          <w:bCs/>
        </w:rPr>
        <w:t>výdaje jednoho člena domácnosti</w:t>
      </w:r>
      <w:r w:rsidRPr="00D66D1D">
        <w:t xml:space="preserve"> souboru rodinných účtů </w:t>
      </w:r>
      <w:r w:rsidRPr="00D66D1D">
        <w:rPr>
          <w:b/>
        </w:rPr>
        <w:t xml:space="preserve">činily </w:t>
      </w:r>
      <w:r w:rsidRPr="00D66D1D">
        <w:t xml:space="preserve">měsíčně v průměru </w:t>
      </w:r>
      <w:r w:rsidRPr="00D66D1D">
        <w:rPr>
          <w:b/>
        </w:rPr>
        <w:t>10</w:t>
      </w:r>
      <w:r>
        <w:rPr>
          <w:b/>
        </w:rPr>
        <w:t> </w:t>
      </w:r>
      <w:r w:rsidRPr="00D66D1D">
        <w:rPr>
          <w:b/>
        </w:rPr>
        <w:t>545</w:t>
      </w:r>
      <w:r>
        <w:rPr>
          <w:b/>
          <w:bCs/>
        </w:rPr>
        <w:t> </w:t>
      </w:r>
      <w:r w:rsidRPr="00D66D1D">
        <w:rPr>
          <w:b/>
          <w:bCs/>
        </w:rPr>
        <w:t>Kč</w:t>
      </w:r>
      <w:r w:rsidRPr="00D66D1D">
        <w:t>, tj. </w:t>
      </w:r>
      <w:r w:rsidRPr="00D66D1D">
        <w:rPr>
          <w:bCs/>
        </w:rPr>
        <w:t>nominálně</w:t>
      </w:r>
      <w:r w:rsidRPr="00D66D1D">
        <w:rPr>
          <w:b/>
          <w:bCs/>
        </w:rPr>
        <w:t xml:space="preserve"> o 0,6</w:t>
      </w:r>
      <w:r>
        <w:rPr>
          <w:b/>
          <w:bCs/>
        </w:rPr>
        <w:t> </w:t>
      </w:r>
      <w:r w:rsidRPr="00D66D1D">
        <w:rPr>
          <w:b/>
          <w:bCs/>
        </w:rPr>
        <w:t>% více než</w:t>
      </w:r>
      <w:r w:rsidRPr="00D66D1D">
        <w:rPr>
          <w:bCs/>
        </w:rPr>
        <w:t xml:space="preserve"> v 1. pololetí 2014</w:t>
      </w:r>
      <w:r>
        <w:rPr>
          <w:bCs/>
        </w:rPr>
        <w:t>; stejně jako u čistých příjmů, rostly nejrychleji výdaje bezdětných domácností zaměstnanců (+4,9 %),</w:t>
      </w:r>
    </w:p>
    <w:p w:rsidR="00BF424C" w:rsidRPr="00D66D1D" w:rsidRDefault="00BF424C" w:rsidP="00F9571A">
      <w:pPr>
        <w:numPr>
          <w:ilvl w:val="0"/>
          <w:numId w:val="7"/>
        </w:numPr>
        <w:tabs>
          <w:tab w:val="clear" w:pos="720"/>
          <w:tab w:val="num" w:pos="1080"/>
          <w:tab w:val="left" w:pos="3969"/>
        </w:tabs>
        <w:spacing w:after="240" w:line="360" w:lineRule="auto"/>
        <w:jc w:val="both"/>
      </w:pPr>
      <w:r w:rsidRPr="002E1F6F">
        <w:t xml:space="preserve">i přes deklarovaný vzestup konečné spotřeby vykázaná data o spotřebních výdajích ukazují, že </w:t>
      </w:r>
      <w:r w:rsidRPr="00D66D1D">
        <w:rPr>
          <w:b/>
        </w:rPr>
        <w:t>akcelerace</w:t>
      </w:r>
      <w:r w:rsidRPr="00D66D1D">
        <w:t xml:space="preserve"> meziroční </w:t>
      </w:r>
      <w:r w:rsidRPr="00D66D1D">
        <w:rPr>
          <w:b/>
        </w:rPr>
        <w:t xml:space="preserve">dynamiky </w:t>
      </w:r>
      <w:r w:rsidRPr="00D66D1D">
        <w:t xml:space="preserve">čistých peněžních </w:t>
      </w:r>
      <w:r w:rsidRPr="00D66D1D">
        <w:rPr>
          <w:b/>
        </w:rPr>
        <w:t>příjmů průměrné domácnosti</w:t>
      </w:r>
      <w:r w:rsidRPr="00D66D1D">
        <w:t xml:space="preserve"> statistiky rodinných účtů (index 101,7</w:t>
      </w:r>
      <w:r>
        <w:t> </w:t>
      </w:r>
      <w:r w:rsidRPr="00D66D1D">
        <w:t xml:space="preserve">%) </w:t>
      </w:r>
      <w:r>
        <w:t xml:space="preserve">znovu </w:t>
      </w:r>
      <w:r w:rsidRPr="00D66D1D">
        <w:rPr>
          <w:b/>
        </w:rPr>
        <w:t>předčila dynamiku peněžních výdajů</w:t>
      </w:r>
      <w:r>
        <w:rPr>
          <w:b/>
        </w:rPr>
        <w:t xml:space="preserve">, a to </w:t>
      </w:r>
      <w:r w:rsidRPr="00D66D1D">
        <w:t>o 1,5</w:t>
      </w:r>
      <w:r>
        <w:t xml:space="preserve"> </w:t>
      </w:r>
      <w:r w:rsidRPr="00D66D1D">
        <w:t>p.</w:t>
      </w:r>
      <w:r>
        <w:t> </w:t>
      </w:r>
      <w:r w:rsidRPr="00D66D1D">
        <w:t>b. (podrobněji za jednotlivé skupiny domácností viz tabulku č.</w:t>
      </w:r>
      <w:r>
        <w:t> </w:t>
      </w:r>
      <w:r w:rsidRPr="00D66D1D">
        <w:t>2 v příloze)</w:t>
      </w:r>
      <w:r w:rsidR="002251CD">
        <w:t>,</w:t>
      </w:r>
      <w:r>
        <w:t xml:space="preserve"> </w:t>
      </w:r>
    </w:p>
    <w:p w:rsidR="00874B49" w:rsidRPr="00257513" w:rsidRDefault="00BF424C" w:rsidP="00F9571A">
      <w:pPr>
        <w:numPr>
          <w:ilvl w:val="0"/>
          <w:numId w:val="7"/>
        </w:numPr>
        <w:tabs>
          <w:tab w:val="clear" w:pos="720"/>
          <w:tab w:val="num" w:pos="1080"/>
        </w:tabs>
        <w:spacing w:after="120" w:line="360" w:lineRule="auto"/>
        <w:ind w:left="709"/>
        <w:jc w:val="both"/>
        <w:rPr>
          <w:rFonts w:cs="Arial"/>
          <w:bCs/>
          <w:szCs w:val="24"/>
        </w:rPr>
      </w:pPr>
      <w:r w:rsidRPr="004B44C6">
        <w:rPr>
          <w:rFonts w:cs="Arial"/>
          <w:szCs w:val="24"/>
        </w:rPr>
        <w:t xml:space="preserve">příznivý vývoj spotřebitelských cen spolu s víceméně </w:t>
      </w:r>
      <w:r w:rsidRPr="004B44C6">
        <w:t>neměnnými</w:t>
      </w:r>
      <w:r w:rsidRPr="004B44C6">
        <w:rPr>
          <w:rFonts w:cs="Arial"/>
          <w:szCs w:val="24"/>
        </w:rPr>
        <w:t xml:space="preserve"> spotřebními zvyklostmi </w:t>
      </w:r>
      <w:r w:rsidRPr="004B44C6">
        <w:rPr>
          <w:rFonts w:cs="Arial"/>
          <w:b/>
          <w:bCs/>
          <w:szCs w:val="24"/>
        </w:rPr>
        <w:t xml:space="preserve">strukturu </w:t>
      </w:r>
      <w:r w:rsidRPr="004B44C6">
        <w:rPr>
          <w:rFonts w:cs="Arial"/>
          <w:szCs w:val="24"/>
        </w:rPr>
        <w:t>úhrnných</w:t>
      </w:r>
      <w:r w:rsidRPr="004B44C6">
        <w:rPr>
          <w:rFonts w:cs="Arial"/>
          <w:b/>
          <w:bCs/>
          <w:szCs w:val="24"/>
        </w:rPr>
        <w:t xml:space="preserve"> spotřebních vydání</w:t>
      </w:r>
      <w:r w:rsidRPr="004B44C6">
        <w:rPr>
          <w:rFonts w:cs="Arial"/>
          <w:bCs/>
          <w:szCs w:val="24"/>
        </w:rPr>
        <w:t xml:space="preserve"> domácností</w:t>
      </w:r>
      <w:r w:rsidRPr="004B44C6">
        <w:rPr>
          <w:rFonts w:cs="Arial"/>
          <w:b/>
          <w:bCs/>
          <w:szCs w:val="24"/>
        </w:rPr>
        <w:t xml:space="preserve"> téměř neovlivnily;</w:t>
      </w:r>
      <w:r w:rsidRPr="004B44C6">
        <w:rPr>
          <w:rFonts w:cs="Arial"/>
          <w:bCs/>
          <w:szCs w:val="24"/>
        </w:rPr>
        <w:t xml:space="preserve"> </w:t>
      </w:r>
      <w:r w:rsidRPr="00E4248A">
        <w:rPr>
          <w:rFonts w:cs="Arial"/>
          <w:bCs/>
          <w:szCs w:val="24"/>
        </w:rPr>
        <w:t xml:space="preserve">dynamiku jednotlivých výdajových skupin a strukturu spotřebních vydání charakterizují tabulky č. 2 a 25 v příloze </w:t>
      </w:r>
      <w:r w:rsidR="00874B49" w:rsidRPr="00E4248A">
        <w:rPr>
          <w:rFonts w:cs="Arial"/>
          <w:bCs/>
          <w:szCs w:val="24"/>
        </w:rPr>
        <w:t xml:space="preserve">a následující graf </w:t>
      </w:r>
      <w:r w:rsidRPr="004B44C6">
        <w:rPr>
          <w:rFonts w:cs="Arial"/>
          <w:bCs/>
          <w:szCs w:val="24"/>
        </w:rPr>
        <w:t xml:space="preserve">– u všech nebo u větší části domácností došlo </w:t>
      </w:r>
      <w:r w:rsidRPr="004B44C6">
        <w:rPr>
          <w:rFonts w:cs="Arial"/>
          <w:b/>
          <w:bCs/>
          <w:szCs w:val="24"/>
        </w:rPr>
        <w:t xml:space="preserve">k poklesu váhy </w:t>
      </w:r>
      <w:r w:rsidRPr="004B44C6">
        <w:rPr>
          <w:rFonts w:cs="Arial"/>
          <w:bCs/>
          <w:szCs w:val="24"/>
        </w:rPr>
        <w:t xml:space="preserve">cenově relativně výhodných </w:t>
      </w:r>
      <w:r w:rsidRPr="004B44C6">
        <w:rPr>
          <w:rFonts w:cs="Arial"/>
          <w:b/>
          <w:bCs/>
          <w:szCs w:val="24"/>
        </w:rPr>
        <w:t xml:space="preserve">výdajů za bydlení a potraviny a nealkoholické nápoje, nárůst </w:t>
      </w:r>
      <w:r w:rsidRPr="004B44C6">
        <w:rPr>
          <w:rFonts w:cs="Arial"/>
          <w:bCs/>
          <w:szCs w:val="24"/>
        </w:rPr>
        <w:lastRenderedPageBreak/>
        <w:t>podílu výdajů</w:t>
      </w:r>
      <w:r w:rsidRPr="004B44C6">
        <w:rPr>
          <w:rFonts w:cs="Arial"/>
          <w:b/>
          <w:bCs/>
          <w:szCs w:val="24"/>
        </w:rPr>
        <w:t xml:space="preserve"> se projevil </w:t>
      </w:r>
      <w:r w:rsidRPr="004B44C6">
        <w:rPr>
          <w:rFonts w:cs="Arial"/>
          <w:bCs/>
          <w:szCs w:val="24"/>
        </w:rPr>
        <w:t>u</w:t>
      </w:r>
      <w:r w:rsidRPr="004B44C6">
        <w:rPr>
          <w:rFonts w:cs="Arial"/>
          <w:b/>
          <w:bCs/>
          <w:szCs w:val="24"/>
        </w:rPr>
        <w:t xml:space="preserve"> </w:t>
      </w:r>
      <w:r w:rsidRPr="004B44C6">
        <w:rPr>
          <w:rFonts w:cs="Arial"/>
          <w:bCs/>
          <w:szCs w:val="24"/>
        </w:rPr>
        <w:t>většího počtu skupin</w:t>
      </w:r>
      <w:r w:rsidRPr="004B44C6">
        <w:rPr>
          <w:rFonts w:cs="Arial"/>
          <w:b/>
          <w:bCs/>
          <w:szCs w:val="24"/>
        </w:rPr>
        <w:t xml:space="preserve"> domácností ve </w:t>
      </w:r>
      <w:r w:rsidRPr="004B44C6">
        <w:rPr>
          <w:rFonts w:cs="Arial"/>
          <w:bCs/>
          <w:szCs w:val="24"/>
        </w:rPr>
        <w:t xml:space="preserve">výdajích za </w:t>
      </w:r>
      <w:r w:rsidRPr="004B44C6">
        <w:rPr>
          <w:rFonts w:cs="Arial"/>
          <w:b/>
          <w:bCs/>
          <w:szCs w:val="24"/>
        </w:rPr>
        <w:t xml:space="preserve">dopravu </w:t>
      </w:r>
      <w:r w:rsidRPr="004B44C6">
        <w:rPr>
          <w:rFonts w:cs="Arial"/>
          <w:bCs/>
          <w:szCs w:val="24"/>
        </w:rPr>
        <w:t xml:space="preserve">(reakce na ceny benzínu), </w:t>
      </w:r>
      <w:r w:rsidRPr="004B44C6">
        <w:rPr>
          <w:rFonts w:cs="Arial"/>
          <w:b/>
          <w:bCs/>
          <w:szCs w:val="24"/>
        </w:rPr>
        <w:t>bytové vybavení a odívání a obuv.</w:t>
      </w:r>
    </w:p>
    <w:p w:rsidR="00257513" w:rsidRPr="00874B49" w:rsidRDefault="00257513" w:rsidP="00257513">
      <w:pPr>
        <w:spacing w:after="120" w:line="360" w:lineRule="auto"/>
        <w:ind w:left="349"/>
        <w:jc w:val="both"/>
        <w:rPr>
          <w:rFonts w:cs="Arial"/>
          <w:bCs/>
          <w:szCs w:val="24"/>
        </w:rPr>
      </w:pPr>
    </w:p>
    <w:p w:rsidR="00874B49" w:rsidRDefault="00874B49" w:rsidP="00F9571A">
      <w:pPr>
        <w:spacing w:after="120" w:line="360" w:lineRule="auto"/>
        <w:ind w:left="709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343525" cy="3467100"/>
            <wp:effectExtent l="0" t="0" r="9525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4B49" w:rsidRDefault="00874B49" w:rsidP="00257513">
      <w:pPr>
        <w:spacing w:after="240"/>
        <w:ind w:firstLine="708"/>
        <w:rPr>
          <w:rFonts w:ascii="Calibri" w:hAnsi="Calibri"/>
          <w:color w:val="000000"/>
          <w:sz w:val="22"/>
          <w:szCs w:val="22"/>
          <w:vertAlign w:val="superscript"/>
        </w:rPr>
      </w:pPr>
      <w:r w:rsidRPr="003E697F">
        <w:rPr>
          <w:rFonts w:ascii="Calibri" w:hAnsi="Calibri"/>
          <w:sz w:val="22"/>
          <w:szCs w:val="22"/>
        </w:rPr>
        <w:t>Údaje v závorkách jsou rozdíly proti 1. pololetí roku 201</w:t>
      </w:r>
      <w:r>
        <w:rPr>
          <w:rFonts w:ascii="Calibri" w:hAnsi="Calibri"/>
          <w:sz w:val="22"/>
          <w:szCs w:val="22"/>
        </w:rPr>
        <w:t>4</w:t>
      </w:r>
    </w:p>
    <w:p w:rsidR="00874B49" w:rsidRDefault="00874B49" w:rsidP="00F9571A">
      <w:pPr>
        <w:ind w:left="708"/>
        <w:rPr>
          <w:rFonts w:ascii="Calibri" w:hAnsi="Calibri"/>
          <w:color w:val="000000"/>
          <w:sz w:val="22"/>
          <w:szCs w:val="22"/>
        </w:rPr>
      </w:pPr>
      <w:r w:rsidRPr="002C78B1">
        <w:rPr>
          <w:rFonts w:ascii="Calibri" w:hAnsi="Calibri"/>
          <w:color w:val="000000"/>
          <w:sz w:val="22"/>
          <w:szCs w:val="22"/>
          <w:vertAlign w:val="superscript"/>
        </w:rPr>
        <w:t>1)</w:t>
      </w:r>
      <w:r w:rsidRPr="002C78B1">
        <w:rPr>
          <w:rFonts w:ascii="Calibri" w:hAnsi="Calibri"/>
          <w:color w:val="000000"/>
          <w:sz w:val="22"/>
          <w:szCs w:val="22"/>
        </w:rPr>
        <w:t xml:space="preserve"> zahrnuje </w:t>
      </w:r>
      <w:r>
        <w:rPr>
          <w:rFonts w:ascii="Calibri" w:hAnsi="Calibri"/>
          <w:color w:val="000000"/>
          <w:sz w:val="22"/>
          <w:szCs w:val="22"/>
        </w:rPr>
        <w:t>výdaje za zdravotní péči, pošty a telekomunikace</w:t>
      </w:r>
      <w:r w:rsidRPr="002C78B1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v</w:t>
      </w:r>
      <w:r w:rsidRPr="002C78B1">
        <w:rPr>
          <w:rFonts w:ascii="Calibri" w:hAnsi="Calibri"/>
          <w:color w:val="000000"/>
          <w:sz w:val="22"/>
          <w:szCs w:val="22"/>
        </w:rPr>
        <w:t>eř</w:t>
      </w:r>
      <w:r>
        <w:rPr>
          <w:rFonts w:ascii="Calibri" w:hAnsi="Calibri"/>
          <w:color w:val="000000"/>
          <w:sz w:val="22"/>
          <w:szCs w:val="22"/>
        </w:rPr>
        <w:t xml:space="preserve">ejné </w:t>
      </w:r>
      <w:r w:rsidRPr="002C78B1">
        <w:rPr>
          <w:rFonts w:ascii="Calibri" w:hAnsi="Calibri"/>
          <w:color w:val="000000"/>
          <w:sz w:val="22"/>
          <w:szCs w:val="22"/>
        </w:rPr>
        <w:t>stravování a</w:t>
      </w:r>
      <w:r>
        <w:rPr>
          <w:rFonts w:ascii="Calibri" w:hAnsi="Calibri"/>
          <w:color w:val="000000"/>
          <w:sz w:val="22"/>
          <w:szCs w:val="22"/>
        </w:rPr>
        <w:t> ubytování, vzdělávání</w:t>
      </w:r>
      <w:r w:rsidRPr="002C78B1">
        <w:rPr>
          <w:rFonts w:ascii="Calibri" w:hAnsi="Calibri"/>
          <w:color w:val="000000"/>
          <w:sz w:val="22"/>
          <w:szCs w:val="22"/>
        </w:rPr>
        <w:t xml:space="preserve"> a a</w:t>
      </w:r>
      <w:r>
        <w:rPr>
          <w:rFonts w:ascii="Calibri" w:hAnsi="Calibri"/>
          <w:color w:val="000000"/>
          <w:sz w:val="22"/>
          <w:szCs w:val="22"/>
        </w:rPr>
        <w:t>lkoholické nápoje, tabák</w:t>
      </w:r>
    </w:p>
    <w:p w:rsidR="00874B49" w:rsidRDefault="00874B49" w:rsidP="00F9571A">
      <w:pPr>
        <w:spacing w:after="240"/>
        <w:ind w:firstLine="708"/>
        <w:rPr>
          <w:rFonts w:ascii="Calibri" w:hAnsi="Calibri"/>
          <w:color w:val="000000"/>
          <w:sz w:val="22"/>
          <w:szCs w:val="22"/>
        </w:rPr>
      </w:pPr>
      <w:r w:rsidRPr="002C78B1">
        <w:rPr>
          <w:rFonts w:ascii="Calibri" w:hAnsi="Calibri"/>
          <w:color w:val="000000"/>
          <w:sz w:val="22"/>
          <w:szCs w:val="22"/>
          <w:vertAlign w:val="superscript"/>
        </w:rPr>
        <w:t>2)</w:t>
      </w:r>
      <w:r w:rsidRPr="002C78B1">
        <w:rPr>
          <w:rFonts w:ascii="Calibri" w:hAnsi="Calibri"/>
          <w:color w:val="000000"/>
          <w:sz w:val="22"/>
          <w:szCs w:val="22"/>
        </w:rPr>
        <w:t xml:space="preserve"> nap</w:t>
      </w:r>
      <w:r>
        <w:rPr>
          <w:rFonts w:ascii="Calibri" w:hAnsi="Calibri"/>
          <w:color w:val="000000"/>
          <w:sz w:val="22"/>
          <w:szCs w:val="22"/>
        </w:rPr>
        <w:t>ř. údržba, opravy, odvoz odpadu</w:t>
      </w:r>
      <w:r w:rsidRPr="002C78B1">
        <w:rPr>
          <w:rFonts w:ascii="Calibri" w:hAnsi="Calibri"/>
          <w:color w:val="000000"/>
          <w:sz w:val="22"/>
          <w:szCs w:val="22"/>
        </w:rPr>
        <w:t xml:space="preserve"> apod.</w:t>
      </w:r>
    </w:p>
    <w:p w:rsidR="00874B49" w:rsidRPr="00192687" w:rsidRDefault="00874B49" w:rsidP="00F9571A">
      <w:pPr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Zpracováno z dat ČSÚ</w:t>
      </w:r>
    </w:p>
    <w:p w:rsidR="00874B49" w:rsidRDefault="00874B49" w:rsidP="00F9571A">
      <w:pPr>
        <w:spacing w:after="120" w:line="360" w:lineRule="auto"/>
        <w:jc w:val="both"/>
        <w:rPr>
          <w:bCs/>
          <w:szCs w:val="24"/>
        </w:rPr>
      </w:pPr>
    </w:p>
    <w:p w:rsidR="00257513" w:rsidRPr="007F1DEE" w:rsidRDefault="00257513" w:rsidP="00F9571A">
      <w:pPr>
        <w:spacing w:after="120" w:line="360" w:lineRule="auto"/>
        <w:jc w:val="both"/>
        <w:rPr>
          <w:bCs/>
          <w:szCs w:val="24"/>
        </w:rPr>
      </w:pPr>
    </w:p>
    <w:p w:rsidR="00BF424C" w:rsidRDefault="00BF424C" w:rsidP="00F9571A">
      <w:pPr>
        <w:pStyle w:val="Nadpis3"/>
        <w:numPr>
          <w:ilvl w:val="0"/>
          <w:numId w:val="0"/>
        </w:numPr>
      </w:pPr>
      <w:r>
        <w:t>3. 2 Peněžní úvěry, půjčky</w:t>
      </w:r>
    </w:p>
    <w:p w:rsidR="00BF424C" w:rsidRDefault="00BF424C" w:rsidP="00F9571A">
      <w:pPr>
        <w:jc w:val="both"/>
        <w:rPr>
          <w:rFonts w:cs="Arial"/>
          <w:szCs w:val="28"/>
        </w:rPr>
      </w:pPr>
    </w:p>
    <w:p w:rsidR="00BF424C" w:rsidRDefault="00BF424C" w:rsidP="00F9571A">
      <w:pPr>
        <w:spacing w:after="240" w:line="360" w:lineRule="auto"/>
        <w:jc w:val="both"/>
      </w:pPr>
      <w:r>
        <w:rPr>
          <w:rFonts w:cs="Arial"/>
        </w:rPr>
        <w:tab/>
      </w:r>
      <w:r w:rsidRPr="00DD2435">
        <w:rPr>
          <w:bCs/>
        </w:rPr>
        <w:t>P</w:t>
      </w:r>
      <w:r w:rsidRPr="00DD2435">
        <w:t>odle údajů ČNB činil </w:t>
      </w:r>
      <w:r w:rsidRPr="00DD2435">
        <w:rPr>
          <w:b/>
          <w:bCs/>
        </w:rPr>
        <w:t xml:space="preserve">úhrnný objem půjček domácností </w:t>
      </w:r>
      <w:r w:rsidRPr="00DD2435">
        <w:t xml:space="preserve">evidovaných u peněžních ústavů k 30. 6. 2015 </w:t>
      </w:r>
      <w:r w:rsidRPr="00DD2435">
        <w:rPr>
          <w:b/>
        </w:rPr>
        <w:t>1 278,6 </w:t>
      </w:r>
      <w:r w:rsidRPr="00DD2435">
        <w:rPr>
          <w:b/>
          <w:bCs/>
        </w:rPr>
        <w:t>mld. Kč,</w:t>
      </w:r>
      <w:r w:rsidRPr="00DD2435">
        <w:t xml:space="preserve"> </w:t>
      </w:r>
      <w:r w:rsidRPr="00DD2435">
        <w:rPr>
          <w:b/>
          <w:bCs/>
        </w:rPr>
        <w:t>což bylo</w:t>
      </w:r>
      <w:r w:rsidRPr="00DD2435">
        <w:t xml:space="preserve"> </w:t>
      </w:r>
      <w:r w:rsidRPr="00DD2435">
        <w:rPr>
          <w:b/>
          <w:bCs/>
        </w:rPr>
        <w:t xml:space="preserve">o 80,0 mld. Kč více než ke stejnému období předchozího roku. </w:t>
      </w:r>
      <w:r w:rsidRPr="00DD2435">
        <w:rPr>
          <w:bCs/>
        </w:rPr>
        <w:t xml:space="preserve">Výrazný meziroční nárůst půjček domácností se projevil zejména v úvěrech na bydlení, ale vliv měla také jednorázová změna v bankovní a měnové statistice ČNB. </w:t>
      </w:r>
      <w:r w:rsidRPr="00DD2435">
        <w:rPr>
          <w:b/>
          <w:bCs/>
        </w:rPr>
        <w:t>Od začátku roku 2015 sledovaný ukazatel celkového objemu úvěrů narostl o 48,4 mld. Kč</w:t>
      </w:r>
      <w:r w:rsidRPr="00DD2435">
        <w:rPr>
          <w:bCs/>
        </w:rPr>
        <w:t> </w:t>
      </w:r>
      <w:r w:rsidRPr="00DD2435">
        <w:t>– viz</w:t>
      </w:r>
      <w:r w:rsidRPr="00DD2435">
        <w:rPr>
          <w:b/>
          <w:bCs/>
        </w:rPr>
        <w:t xml:space="preserve"> </w:t>
      </w:r>
      <w:r w:rsidRPr="00DD2435">
        <w:rPr>
          <w:bCs/>
        </w:rPr>
        <w:t>tabulku č. 26 v příloze</w:t>
      </w:r>
      <w:r w:rsidRPr="00DD2435">
        <w:t>.</w:t>
      </w:r>
    </w:p>
    <w:p w:rsidR="00BF424C" w:rsidRDefault="00BF424C" w:rsidP="00F9571A">
      <w:pPr>
        <w:spacing w:after="120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810249" cy="340995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51" cy="3414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24C" w:rsidRPr="003B5FDF" w:rsidRDefault="00BF424C" w:rsidP="00257513">
      <w:pPr>
        <w:spacing w:before="240"/>
        <w:rPr>
          <w:sz w:val="20"/>
        </w:rPr>
      </w:pPr>
      <w:r w:rsidRPr="003B5FDF">
        <w:rPr>
          <w:sz w:val="20"/>
        </w:rPr>
        <w:t>Zpracováno z dat ČNB</w:t>
      </w:r>
    </w:p>
    <w:p w:rsidR="00BF424C" w:rsidRDefault="00BF424C" w:rsidP="00F9571A">
      <w:pPr>
        <w:spacing w:line="276" w:lineRule="auto"/>
        <w:rPr>
          <w:b/>
          <w:bCs/>
        </w:rPr>
      </w:pPr>
    </w:p>
    <w:p w:rsidR="00257513" w:rsidRDefault="00257513" w:rsidP="00F9571A">
      <w:pPr>
        <w:spacing w:line="276" w:lineRule="auto"/>
        <w:rPr>
          <w:b/>
          <w:bCs/>
        </w:rPr>
      </w:pPr>
    </w:p>
    <w:p w:rsidR="00257513" w:rsidRPr="00DD2435" w:rsidRDefault="00257513" w:rsidP="00F9571A">
      <w:pPr>
        <w:spacing w:line="276" w:lineRule="auto"/>
        <w:rPr>
          <w:b/>
          <w:bCs/>
        </w:rPr>
      </w:pPr>
    </w:p>
    <w:p w:rsidR="00BF424C" w:rsidRPr="00DD2435" w:rsidRDefault="00BF424C" w:rsidP="00F9571A">
      <w:pPr>
        <w:spacing w:line="360" w:lineRule="auto"/>
        <w:jc w:val="both"/>
        <w:rPr>
          <w:bCs/>
        </w:rPr>
      </w:pPr>
      <w:r w:rsidRPr="00DD2435">
        <w:rPr>
          <w:b/>
          <w:bCs/>
        </w:rPr>
        <w:tab/>
        <w:t>Rozhodující část</w:t>
      </w:r>
      <w:r w:rsidRPr="00DD2435">
        <w:t xml:space="preserve"> meziročního </w:t>
      </w:r>
      <w:r w:rsidRPr="00DD2435">
        <w:rPr>
          <w:b/>
          <w:bCs/>
        </w:rPr>
        <w:t xml:space="preserve">vzestupu celkového objemu </w:t>
      </w:r>
      <w:r w:rsidRPr="00DD2435">
        <w:t xml:space="preserve">bankovních peněžních </w:t>
      </w:r>
      <w:r w:rsidRPr="00DD2435">
        <w:rPr>
          <w:b/>
          <w:bCs/>
        </w:rPr>
        <w:t>půjček</w:t>
      </w:r>
      <w:r w:rsidRPr="00DD2435">
        <w:t xml:space="preserve"> </w:t>
      </w:r>
      <w:r w:rsidRPr="00DD2435">
        <w:rPr>
          <w:b/>
          <w:bCs/>
        </w:rPr>
        <w:t xml:space="preserve">představovaly, stejně jako v předcházejících letech, </w:t>
      </w:r>
      <w:r w:rsidRPr="00DD2435">
        <w:t>hypoteční a jiné</w:t>
      </w:r>
      <w:r w:rsidRPr="00DD2435">
        <w:rPr>
          <w:b/>
          <w:bCs/>
        </w:rPr>
        <w:t xml:space="preserve"> úvěry na bydlení </w:t>
      </w:r>
      <w:r w:rsidRPr="00DD2435">
        <w:rPr>
          <w:bCs/>
        </w:rPr>
        <w:t>(930,2 mld. Kč),</w:t>
      </w:r>
      <w:r w:rsidRPr="00DD2435">
        <w:t xml:space="preserve"> z toho </w:t>
      </w:r>
      <w:r w:rsidRPr="00DD2435">
        <w:rPr>
          <w:b/>
          <w:bCs/>
        </w:rPr>
        <w:t xml:space="preserve">objem hypotečních úvěrů se oproti stejnému období minulého roku zvýšil o 57,8 mld. Kč </w:t>
      </w:r>
      <w:r w:rsidRPr="00DD2435">
        <w:rPr>
          <w:bCs/>
        </w:rPr>
        <w:t xml:space="preserve">(na 826,1 mld. Kč). </w:t>
      </w:r>
    </w:p>
    <w:p w:rsidR="00BF424C" w:rsidRPr="00DD2435" w:rsidRDefault="00BF424C" w:rsidP="00F9571A">
      <w:pPr>
        <w:spacing w:line="360" w:lineRule="auto"/>
        <w:jc w:val="both"/>
        <w:rPr>
          <w:bCs/>
        </w:rPr>
      </w:pPr>
    </w:p>
    <w:p w:rsidR="00BF424C" w:rsidRPr="00DD2435" w:rsidRDefault="00BF424C" w:rsidP="00F9571A">
      <w:pPr>
        <w:spacing w:line="360" w:lineRule="auto"/>
        <w:ind w:firstLine="708"/>
        <w:jc w:val="both"/>
      </w:pPr>
      <w:r w:rsidRPr="00DD2435">
        <w:t>Údaje bankovního a nebankovního registru ukazují, že i přes růst celkového počtu klientů s hypotékou (o 47 tis.) se snížila jejich průměrná částka (pokles o 63 tis. Kč na 1,97 mil. Kč). Podle registru mělo hypotéku uzavřenou ke konci druhého čtvrtletí tohoto roku 554 tisíc osob z celkového počtu 3 miliónů dlužníků.</w:t>
      </w:r>
    </w:p>
    <w:p w:rsidR="00BF424C" w:rsidRDefault="00BF424C" w:rsidP="00F9571A">
      <w:pPr>
        <w:spacing w:line="360" w:lineRule="auto"/>
        <w:ind w:firstLine="708"/>
        <w:jc w:val="both"/>
      </w:pPr>
    </w:p>
    <w:p w:rsidR="00BF424C" w:rsidRPr="00DD2435" w:rsidRDefault="00BF424C" w:rsidP="00F9571A">
      <w:pPr>
        <w:spacing w:line="360" w:lineRule="auto"/>
        <w:ind w:firstLine="708"/>
        <w:jc w:val="both"/>
        <w:rPr>
          <w:b/>
          <w:bCs/>
        </w:rPr>
      </w:pPr>
      <w:r w:rsidRPr="00DD2435">
        <w:t xml:space="preserve">Podle ČNB celkový </w:t>
      </w:r>
      <w:r w:rsidRPr="00DD2435">
        <w:rPr>
          <w:b/>
          <w:bCs/>
        </w:rPr>
        <w:t>objem</w:t>
      </w:r>
      <w:r w:rsidRPr="00DD2435">
        <w:t xml:space="preserve"> </w:t>
      </w:r>
      <w:r w:rsidRPr="00DD2435">
        <w:rPr>
          <w:b/>
          <w:bCs/>
        </w:rPr>
        <w:t xml:space="preserve">úvěrů na spotřebu </w:t>
      </w:r>
      <w:r w:rsidRPr="00DD2435">
        <w:t>(na zboží a služby běžné spotřeby)</w:t>
      </w:r>
      <w:r w:rsidRPr="00DD2435">
        <w:rPr>
          <w:b/>
          <w:bCs/>
        </w:rPr>
        <w:t xml:space="preserve"> meziročně vzrostl o 17,5 mld. Kč</w:t>
      </w:r>
      <w:r w:rsidRPr="00DD2435">
        <w:rPr>
          <w:bCs/>
        </w:rPr>
        <w:t xml:space="preserve"> (</w:t>
      </w:r>
      <w:r w:rsidRPr="00EB4B5B">
        <w:rPr>
          <w:bCs/>
        </w:rPr>
        <w:t xml:space="preserve">o rok dříve nastal růst o </w:t>
      </w:r>
      <w:r w:rsidR="00CB4FC3">
        <w:rPr>
          <w:bCs/>
        </w:rPr>
        <w:t>0</w:t>
      </w:r>
      <w:r w:rsidRPr="00EB4B5B">
        <w:rPr>
          <w:bCs/>
        </w:rPr>
        <w:t>,6 mld. Kč</w:t>
      </w:r>
      <w:r w:rsidRPr="00DD2435">
        <w:rPr>
          <w:bCs/>
        </w:rPr>
        <w:t>). Takto</w:t>
      </w:r>
      <w:r w:rsidRPr="00DD2435">
        <w:rPr>
          <w:b/>
          <w:bCs/>
        </w:rPr>
        <w:t xml:space="preserve"> </w:t>
      </w:r>
      <w:r w:rsidRPr="00DD2435">
        <w:rPr>
          <w:bCs/>
        </w:rPr>
        <w:t>výrazný</w:t>
      </w:r>
      <w:r w:rsidRPr="00DD2435">
        <w:rPr>
          <w:b/>
          <w:bCs/>
        </w:rPr>
        <w:t xml:space="preserve"> </w:t>
      </w:r>
      <w:r w:rsidRPr="00DD2435">
        <w:rPr>
          <w:bCs/>
        </w:rPr>
        <w:t xml:space="preserve">růst (oproti dlouhodobému trendu) byl způsoben fúzí pobočky zahraniční banky s nebankovním subjektem, který znamenal jednorázové zvýšení bilanční sumy bank o 20 mld. Kč. </w:t>
      </w:r>
      <w:r w:rsidRPr="00DD2435">
        <w:rPr>
          <w:b/>
          <w:bCs/>
        </w:rPr>
        <w:t>Bez tohoto vlivu by spotřební úvěry obyvatelstvu meziročně poklesly</w:t>
      </w:r>
      <w:r w:rsidRPr="00DD2435">
        <w:rPr>
          <w:bCs/>
        </w:rPr>
        <w:t xml:space="preserve"> a domácnosti nadále využívaly pro spotřebu převážně svých úspor v bankách.</w:t>
      </w:r>
    </w:p>
    <w:p w:rsidR="00BF424C" w:rsidRPr="00DD2435" w:rsidRDefault="00BF424C" w:rsidP="00F9571A">
      <w:pPr>
        <w:spacing w:line="360" w:lineRule="auto"/>
        <w:jc w:val="both"/>
        <w:rPr>
          <w:rFonts w:cs="Arial"/>
        </w:rPr>
      </w:pPr>
      <w:r>
        <w:lastRenderedPageBreak/>
        <w:tab/>
      </w:r>
      <w:r w:rsidRPr="00DD2435">
        <w:rPr>
          <w:rFonts w:cs="Arial"/>
        </w:rPr>
        <w:t>V první polovině roku 2015 nastal mírný růst celkového objemu prostředků poskytnutých</w:t>
      </w:r>
      <w:r w:rsidRPr="00DD2435">
        <w:rPr>
          <w:rFonts w:cs="Arial"/>
          <w:b/>
        </w:rPr>
        <w:t xml:space="preserve"> nebankovními společnostmi</w:t>
      </w:r>
      <w:r w:rsidRPr="00DD2435">
        <w:rPr>
          <w:rFonts w:cs="Arial"/>
        </w:rPr>
        <w:t xml:space="preserve"> </w:t>
      </w:r>
      <w:r w:rsidRPr="00DD2435">
        <w:rPr>
          <w:rFonts w:cs="Arial"/>
          <w:b/>
        </w:rPr>
        <w:t xml:space="preserve">prostřednictvím spotřebitelských úvěrů </w:t>
      </w:r>
      <w:r w:rsidRPr="00DD2435">
        <w:rPr>
          <w:rFonts w:cs="Arial"/>
        </w:rPr>
        <w:t>(meziroční nárůst o 4,5 %). Domácnosti si podle dat ČLFA touto formou půjčily od začátku roku celkem 14,5 mld. Kč. Tato celková částka a meziroční změna jsou již očištěny o jednorázovou změnu ve statistikách bank (viz předchozí text). Zlepšení trendu ve výkonu národního hospodářství se projevuje i v počtu půjček na pořízeních nových automobilů, kde vzrostl počet uzavřených smluv o 2</w:t>
      </w:r>
      <w:r>
        <w:rPr>
          <w:rFonts w:cs="Arial"/>
        </w:rPr>
        <w:t>,4</w:t>
      </w:r>
      <w:r w:rsidRPr="00DD2435">
        <w:rPr>
          <w:rFonts w:cs="Arial"/>
        </w:rPr>
        <w:t> </w:t>
      </w:r>
      <w:r>
        <w:rPr>
          <w:rFonts w:cs="Arial"/>
        </w:rPr>
        <w:t>tis</w:t>
      </w:r>
      <w:r w:rsidRPr="00DD2435">
        <w:rPr>
          <w:rFonts w:cs="Arial"/>
        </w:rPr>
        <w:t>.</w:t>
      </w:r>
    </w:p>
    <w:p w:rsidR="00BF424C" w:rsidRPr="00DD2435" w:rsidRDefault="00BF424C" w:rsidP="00F9571A">
      <w:pPr>
        <w:spacing w:line="360" w:lineRule="auto"/>
        <w:jc w:val="both"/>
        <w:rPr>
          <w:rFonts w:cs="Arial"/>
        </w:rPr>
      </w:pPr>
    </w:p>
    <w:p w:rsidR="00BF424C" w:rsidRPr="00DD2435" w:rsidRDefault="00BF424C" w:rsidP="00F9571A">
      <w:pPr>
        <w:spacing w:line="360" w:lineRule="auto"/>
        <w:jc w:val="both"/>
        <w:rPr>
          <w:rFonts w:cs="Arial"/>
        </w:rPr>
      </w:pPr>
      <w:r w:rsidRPr="00DD2435">
        <w:rPr>
          <w:rFonts w:cs="Arial"/>
        </w:rPr>
        <w:tab/>
        <w:t xml:space="preserve">Během prvního pololetí tohoto roku </w:t>
      </w:r>
      <w:r w:rsidRPr="00DD2435">
        <w:rPr>
          <w:rFonts w:cs="Arial"/>
          <w:b/>
        </w:rPr>
        <w:t>poklesl objem tzv. „úvěrů  v selhání“ v oblasti půjček na bydlení,</w:t>
      </w:r>
      <w:r w:rsidRPr="00DD2435">
        <w:rPr>
          <w:rFonts w:cs="Arial"/>
        </w:rPr>
        <w:t xml:space="preserve"> který představoval ke konci června 27,5 mld. Kč (o 0,5 mld. Kč meziročně méně), celkový objem úvěrů se selháním dosáhl úrovně 59,3 mld. Kč.</w:t>
      </w:r>
    </w:p>
    <w:p w:rsidR="00BF424C" w:rsidRDefault="00BF424C" w:rsidP="00F9571A">
      <w:pPr>
        <w:spacing w:line="360" w:lineRule="auto"/>
        <w:jc w:val="both"/>
        <w:rPr>
          <w:rFonts w:cs="Arial"/>
        </w:rPr>
      </w:pPr>
    </w:p>
    <w:p w:rsidR="009516A8" w:rsidRPr="00DD2435" w:rsidRDefault="009516A8" w:rsidP="00F9571A">
      <w:pPr>
        <w:spacing w:line="360" w:lineRule="auto"/>
        <w:jc w:val="both"/>
        <w:rPr>
          <w:rFonts w:cs="Arial"/>
        </w:rPr>
      </w:pPr>
    </w:p>
    <w:p w:rsidR="00BF424C" w:rsidRPr="00DD2435" w:rsidRDefault="00BF424C" w:rsidP="00F9571A">
      <w:pPr>
        <w:pStyle w:val="Nadpis3"/>
        <w:numPr>
          <w:ilvl w:val="0"/>
          <w:numId w:val="0"/>
        </w:numPr>
      </w:pPr>
      <w:r w:rsidRPr="00DD2435">
        <w:t>3. 3 Úspory</w:t>
      </w:r>
    </w:p>
    <w:p w:rsidR="00BF424C" w:rsidRPr="00DD2435" w:rsidRDefault="00BF424C" w:rsidP="00F9571A">
      <w:pPr>
        <w:spacing w:line="360" w:lineRule="auto"/>
        <w:jc w:val="both"/>
        <w:rPr>
          <w:bCs/>
        </w:rPr>
      </w:pPr>
    </w:p>
    <w:p w:rsidR="00BF424C" w:rsidRPr="00DD2435" w:rsidRDefault="00BF424C" w:rsidP="00F9571A">
      <w:pPr>
        <w:spacing w:line="360" w:lineRule="auto"/>
        <w:jc w:val="both"/>
        <w:rPr>
          <w:b/>
          <w:bCs/>
        </w:rPr>
      </w:pPr>
      <w:r w:rsidRPr="00DD2435">
        <w:rPr>
          <w:rFonts w:cs="Arial"/>
        </w:rPr>
        <w:tab/>
      </w:r>
      <w:r w:rsidRPr="00DD2435">
        <w:rPr>
          <w:rFonts w:cs="Arial"/>
          <w:b/>
        </w:rPr>
        <w:t>Rostoucí reálné příjmy,</w:t>
      </w:r>
      <w:r w:rsidRPr="00DD2435">
        <w:rPr>
          <w:rFonts w:cs="Arial"/>
        </w:rPr>
        <w:t xml:space="preserve"> </w:t>
      </w:r>
      <w:r w:rsidRPr="00DD2435">
        <w:rPr>
          <w:rFonts w:cs="Arial"/>
          <w:b/>
        </w:rPr>
        <w:t>z</w:t>
      </w:r>
      <w:r w:rsidRPr="00DD2435">
        <w:rPr>
          <w:b/>
          <w:bCs/>
        </w:rPr>
        <w:t>lepšující se</w:t>
      </w:r>
      <w:r w:rsidRPr="00DD2435">
        <w:rPr>
          <w:bCs/>
        </w:rPr>
        <w:t xml:space="preserve"> </w:t>
      </w:r>
      <w:r w:rsidRPr="00DD2435">
        <w:rPr>
          <w:b/>
          <w:bCs/>
        </w:rPr>
        <w:t>situace na trhu práce a nízké úročení vkladů se projevily na celkových bankovních</w:t>
      </w:r>
      <w:r w:rsidRPr="00DD2435">
        <w:rPr>
          <w:bCs/>
        </w:rPr>
        <w:t xml:space="preserve"> </w:t>
      </w:r>
      <w:r w:rsidRPr="00DD2435">
        <w:rPr>
          <w:b/>
          <w:bCs/>
        </w:rPr>
        <w:t>úsporách domácností</w:t>
      </w:r>
      <w:r w:rsidRPr="00D35130">
        <w:rPr>
          <w:b/>
          <w:bCs/>
        </w:rPr>
        <w:t>.</w:t>
      </w:r>
      <w:r w:rsidRPr="00DD2435">
        <w:rPr>
          <w:bCs/>
        </w:rPr>
        <w:t xml:space="preserve"> Výše meziročního přírůstu vkladů domácností se oproti konci roku 2014 zpomalila – tato tendence je zachycena na grafu v předchozí kapitole – což značí vyšší ochotu financovat svou spotřebu a investice z vlastních úspor. Domácnosti také stále více využívají alternativní finanční produkty.</w:t>
      </w:r>
    </w:p>
    <w:p w:rsidR="00BF424C" w:rsidRPr="00DD2435" w:rsidRDefault="00BF424C" w:rsidP="00F9571A">
      <w:pPr>
        <w:spacing w:line="360" w:lineRule="auto"/>
        <w:jc w:val="both"/>
        <w:rPr>
          <w:b/>
          <w:bCs/>
        </w:rPr>
      </w:pPr>
    </w:p>
    <w:p w:rsidR="00BF424C" w:rsidRPr="00DD2435" w:rsidRDefault="00BF424C" w:rsidP="00F9571A">
      <w:pPr>
        <w:spacing w:line="360" w:lineRule="auto"/>
        <w:jc w:val="both"/>
        <w:rPr>
          <w:bCs/>
        </w:rPr>
      </w:pPr>
      <w:r w:rsidRPr="00DD2435">
        <w:rPr>
          <w:rFonts w:cs="Arial"/>
        </w:rPr>
        <w:tab/>
        <w:t xml:space="preserve">České </w:t>
      </w:r>
      <w:r w:rsidRPr="00DD2435">
        <w:rPr>
          <w:rFonts w:cs="Arial"/>
          <w:b/>
        </w:rPr>
        <w:t>d</w:t>
      </w:r>
      <w:r w:rsidRPr="00DD2435">
        <w:rPr>
          <w:b/>
          <w:bCs/>
        </w:rPr>
        <w:t xml:space="preserve">omácnosti </w:t>
      </w:r>
      <w:r w:rsidRPr="00DD2435">
        <w:rPr>
          <w:bCs/>
        </w:rPr>
        <w:t xml:space="preserve">v úhrnu </w:t>
      </w:r>
      <w:r w:rsidRPr="00DD2435">
        <w:rPr>
          <w:b/>
          <w:bCs/>
        </w:rPr>
        <w:t>dokázaly</w:t>
      </w:r>
      <w:r w:rsidRPr="00DD2435">
        <w:rPr>
          <w:bCs/>
        </w:rPr>
        <w:t xml:space="preserve"> </w:t>
      </w:r>
      <w:r w:rsidRPr="00DD2435">
        <w:rPr>
          <w:b/>
          <w:bCs/>
        </w:rPr>
        <w:t xml:space="preserve">vytvářet nové úspory a </w:t>
      </w:r>
      <w:r w:rsidRPr="00DD2435">
        <w:rPr>
          <w:b/>
        </w:rPr>
        <w:t>jejich</w:t>
      </w:r>
      <w:r w:rsidRPr="00DD2435">
        <w:t xml:space="preserve"> (korunové a </w:t>
      </w:r>
      <w:proofErr w:type="spellStart"/>
      <w:r w:rsidRPr="00DD2435">
        <w:t>cizoměnové</w:t>
      </w:r>
      <w:proofErr w:type="spellEnd"/>
      <w:r w:rsidRPr="00DD2435">
        <w:t xml:space="preserve">) </w:t>
      </w:r>
      <w:r w:rsidRPr="00DD2435">
        <w:rPr>
          <w:b/>
        </w:rPr>
        <w:t>vklady</w:t>
      </w:r>
      <w:r w:rsidRPr="00DD2435">
        <w:t xml:space="preserve"> </w:t>
      </w:r>
      <w:r w:rsidRPr="00DD2435">
        <w:rPr>
          <w:b/>
          <w:bCs/>
        </w:rPr>
        <w:t xml:space="preserve">se </w:t>
      </w:r>
      <w:r w:rsidRPr="00DD2435">
        <w:t xml:space="preserve">podle dostupných údajů ČNB </w:t>
      </w:r>
      <w:r w:rsidRPr="00DD2435">
        <w:rPr>
          <w:b/>
          <w:bCs/>
        </w:rPr>
        <w:t>k 30. 6. 2015</w:t>
      </w:r>
      <w:r w:rsidRPr="00DD2435">
        <w:t xml:space="preserve"> meziročně </w:t>
      </w:r>
      <w:r w:rsidRPr="00DD2435">
        <w:rPr>
          <w:b/>
          <w:bCs/>
        </w:rPr>
        <w:t>zvýšily o 98,6 mld. Kč na 1 962,7 mld. Kč. Míra úspor</w:t>
      </w:r>
      <w:r w:rsidRPr="00DD2435">
        <w:rPr>
          <w:bCs/>
        </w:rPr>
        <w:t xml:space="preserve"> podle statistiky národních účtů </w:t>
      </w:r>
      <w:r w:rsidRPr="00DD2435">
        <w:rPr>
          <w:b/>
          <w:bCs/>
        </w:rPr>
        <w:t>činila 9,87 %</w:t>
      </w:r>
      <w:r w:rsidRPr="00DD2435">
        <w:rPr>
          <w:bCs/>
        </w:rPr>
        <w:t xml:space="preserve"> a byla tak nižší oproti první polovině roku 2014 o 0,4 p. b. – viz tabulku č. 1.</w:t>
      </w:r>
    </w:p>
    <w:p w:rsidR="00BF424C" w:rsidRPr="00DD2435" w:rsidRDefault="00BF424C" w:rsidP="00F9571A">
      <w:pPr>
        <w:spacing w:line="360" w:lineRule="auto"/>
        <w:jc w:val="both"/>
        <w:rPr>
          <w:bCs/>
        </w:rPr>
      </w:pPr>
    </w:p>
    <w:p w:rsidR="00BF424C" w:rsidRPr="00DD2435" w:rsidRDefault="00BF424C" w:rsidP="00F9571A">
      <w:pPr>
        <w:spacing w:line="360" w:lineRule="auto"/>
        <w:jc w:val="both"/>
      </w:pPr>
      <w:r w:rsidRPr="00DD2435">
        <w:rPr>
          <w:bCs/>
        </w:rPr>
        <w:tab/>
      </w:r>
      <w:r w:rsidRPr="00DD2435">
        <w:rPr>
          <w:b/>
        </w:rPr>
        <w:t>Skladba přírůstku</w:t>
      </w:r>
      <w:r w:rsidRPr="00DD2435">
        <w:t xml:space="preserve"> úsporných </w:t>
      </w:r>
      <w:r w:rsidRPr="00DD2435">
        <w:rPr>
          <w:b/>
        </w:rPr>
        <w:t>vkladů se</w:t>
      </w:r>
      <w:r w:rsidRPr="00DD2435">
        <w:t xml:space="preserve"> v posledních letech výrazně </w:t>
      </w:r>
      <w:r w:rsidRPr="00DD2435">
        <w:rPr>
          <w:b/>
        </w:rPr>
        <w:t>změnila.</w:t>
      </w:r>
      <w:r w:rsidRPr="00DD2435">
        <w:t xml:space="preserve"> </w:t>
      </w:r>
      <w:r w:rsidRPr="00DD2435">
        <w:rPr>
          <w:bCs/>
        </w:rPr>
        <w:t>Při</w:t>
      </w:r>
      <w:r w:rsidRPr="00DD2435">
        <w:rPr>
          <w:b/>
          <w:bCs/>
        </w:rPr>
        <w:t> </w:t>
      </w:r>
      <w:r w:rsidRPr="00DD2435">
        <w:t xml:space="preserve">jednoznačné </w:t>
      </w:r>
      <w:r w:rsidRPr="00DD2435">
        <w:rPr>
          <w:b/>
          <w:bCs/>
        </w:rPr>
        <w:t>orientaci na tvorbu úspor v tuzemské měně</w:t>
      </w:r>
      <w:r w:rsidRPr="00DD2435">
        <w:t xml:space="preserve"> (95,8 %) dávaly domácnosti v souvislosti s trvale nízkou hladinou úrokových sazeb výhradně přednost spoření v jejich </w:t>
      </w:r>
      <w:r w:rsidRPr="00DD2435">
        <w:rPr>
          <w:b/>
          <w:bCs/>
        </w:rPr>
        <w:t xml:space="preserve">netermínované formě </w:t>
      </w:r>
      <w:r w:rsidRPr="00DD2435">
        <w:rPr>
          <w:bCs/>
        </w:rPr>
        <w:t xml:space="preserve">(od začátku roku nárůst o 5,3 %) </w:t>
      </w:r>
      <w:r w:rsidRPr="00DD2435">
        <w:rPr>
          <w:bCs/>
        </w:rPr>
        <w:lastRenderedPageBreak/>
        <w:t xml:space="preserve">a tvořily tak 66,9 % celkových vkladů, </w:t>
      </w:r>
      <w:r w:rsidRPr="00DD2435">
        <w:rPr>
          <w:b/>
          <w:bCs/>
        </w:rPr>
        <w:t>zatímco termínované vklady</w:t>
      </w:r>
      <w:r w:rsidRPr="00DD2435">
        <w:rPr>
          <w:bCs/>
        </w:rPr>
        <w:t xml:space="preserve"> </w:t>
      </w:r>
      <w:r w:rsidRPr="00DD2435">
        <w:rPr>
          <w:b/>
          <w:bCs/>
        </w:rPr>
        <w:t>se za první polovinu roku 2015 snížily o 3,9 %</w:t>
      </w:r>
      <w:r w:rsidRPr="00DD2435">
        <w:rPr>
          <w:bCs/>
        </w:rPr>
        <w:t xml:space="preserve">. Jednalo se převážně o reakci na nízké úročení, které má problém zhodnocovat vklady nad úroveň inflace a pokračující potřebu domácností preferovat více likvidní produkty. Tento trend lze sledovat již od </w:t>
      </w:r>
      <w:r>
        <w:rPr>
          <w:bCs/>
        </w:rPr>
        <w:t>konce roku</w:t>
      </w:r>
      <w:r w:rsidRPr="00DD2435">
        <w:rPr>
          <w:bCs/>
        </w:rPr>
        <w:t xml:space="preserve"> 2009 a celkově došlo za posledních 22 čtvrtletí ke snížení termínovaných vkladů domácností o 131,2 mld. Kč, naopak netermínované vklady vzrostly za stejné období o 542,6 mld. Kč. </w:t>
      </w:r>
    </w:p>
    <w:p w:rsidR="00BF424C" w:rsidRPr="00DD2435" w:rsidRDefault="00BF424C" w:rsidP="00F9571A">
      <w:pPr>
        <w:tabs>
          <w:tab w:val="left" w:pos="5529"/>
        </w:tabs>
        <w:spacing w:after="120"/>
        <w:jc w:val="both"/>
        <w:rPr>
          <w:b/>
          <w:bCs/>
        </w:rPr>
      </w:pPr>
    </w:p>
    <w:p w:rsidR="00BF424C" w:rsidRPr="00DD2435" w:rsidRDefault="00BF424C" w:rsidP="00F9571A">
      <w:pPr>
        <w:spacing w:line="360" w:lineRule="auto"/>
        <w:jc w:val="both"/>
      </w:pPr>
      <w:r w:rsidRPr="00DD2435">
        <w:rPr>
          <w:bCs/>
        </w:rPr>
        <w:tab/>
      </w:r>
      <w:r w:rsidRPr="00DD2435">
        <w:rPr>
          <w:b/>
        </w:rPr>
        <w:t>Úročení vkladů dále klesalo</w:t>
      </w:r>
      <w:r w:rsidRPr="00DD2435">
        <w:t xml:space="preserve"> a pohybovalo se pod úrovní cenové inflace. Průměrná úroková sazba jednodenních vkladů se podle ČNB k 30. 6. 2015 snížila na 0,25 % (o 0,14 p. b. méně oproti stejnému období předchozího roku), stejně tak poklesla sazba z vkladů s výpovědní lhůtou na 1,40 %. Mírný nárůst naopak nastal u úrokových sazeb s dohodnutou splatností s průměrným úročením 1,57 %.</w:t>
      </w:r>
    </w:p>
    <w:p w:rsidR="00BF424C" w:rsidRPr="00DD2435" w:rsidRDefault="00BF424C" w:rsidP="00F9571A">
      <w:pPr>
        <w:spacing w:line="360" w:lineRule="auto"/>
        <w:jc w:val="both"/>
      </w:pPr>
    </w:p>
    <w:p w:rsidR="00BF424C" w:rsidRPr="00DD2435" w:rsidRDefault="00BF424C" w:rsidP="00F9571A">
      <w:pPr>
        <w:spacing w:line="360" w:lineRule="auto"/>
        <w:jc w:val="both"/>
      </w:pPr>
      <w:r w:rsidRPr="00DD2435">
        <w:tab/>
        <w:t xml:space="preserve">Nízká atraktivita termínovaných a netermínovaných účtů vedla domácnosti k využívání i jiných finančních produktů s vyšším zhodnocením. </w:t>
      </w:r>
      <w:r w:rsidRPr="00DD2435">
        <w:rPr>
          <w:bCs/>
        </w:rPr>
        <w:t xml:space="preserve">Podle Asociace pro kapitálový trh </w:t>
      </w:r>
      <w:r w:rsidRPr="00DD2435">
        <w:rPr>
          <w:b/>
          <w:bCs/>
        </w:rPr>
        <w:t>stav peněžních prostředků investovaných do</w:t>
      </w:r>
      <w:r w:rsidRPr="00DD2435">
        <w:t xml:space="preserve"> tuzemských a zahraničních otevřených </w:t>
      </w:r>
      <w:r w:rsidRPr="00DD2435">
        <w:rPr>
          <w:b/>
          <w:bCs/>
        </w:rPr>
        <w:t>podílových fondů</w:t>
      </w:r>
      <w:r w:rsidRPr="00DD2435">
        <w:t xml:space="preserve"> obyvatelstvem a institucemi činil k</w:t>
      </w:r>
      <w:r>
        <w:t>e</w:t>
      </w:r>
      <w:r w:rsidR="001F5BEA">
        <w:t> </w:t>
      </w:r>
      <w:r>
        <w:t xml:space="preserve">konci června tohoto roku </w:t>
      </w:r>
      <w:r w:rsidRPr="00DD2435">
        <w:rPr>
          <w:b/>
          <w:bCs/>
        </w:rPr>
        <w:t>367,4 mld. Kč</w:t>
      </w:r>
      <w:r w:rsidRPr="00DD2435">
        <w:rPr>
          <w:b/>
        </w:rPr>
        <w:t>,</w:t>
      </w:r>
      <w:r w:rsidRPr="00DD2435">
        <w:t xml:space="preserve"> což bylo </w:t>
      </w:r>
      <w:r w:rsidRPr="00DD2435">
        <w:rPr>
          <w:b/>
        </w:rPr>
        <w:t>o 69,9 mld. Kč</w:t>
      </w:r>
      <w:r w:rsidRPr="00DD2435">
        <w:t xml:space="preserve"> </w:t>
      </w:r>
      <w:r w:rsidRPr="00DD2435">
        <w:rPr>
          <w:b/>
        </w:rPr>
        <w:t>více než v polovině roku 2014</w:t>
      </w:r>
      <w:r w:rsidRPr="00DD2435">
        <w:t xml:space="preserve"> (o rok dříve nastal růst o 48,8 mld. Kč). Výrazně více investic zaznamenaly hlavně smíšené fondy, dluhopisové fondy a akciové fondy. Naopak méně vyhledávané byly v roce 2015 fondy nemovitostní a fondy peněžního trhu. Rozdělení investic mezi domácí a zahraniční fondy bylo v podstatě vyrovnané – mírný předstih měl objem zahraničních fondů (51 % z</w:t>
      </w:r>
      <w:r>
        <w:t> celkových investic). Největším</w:t>
      </w:r>
      <w:r w:rsidRPr="00DD2435">
        <w:t xml:space="preserve"> zprostředkovatelem investovaného majetku byla finanční skupina </w:t>
      </w:r>
      <w:proofErr w:type="spellStart"/>
      <w:r w:rsidRPr="00DD2435">
        <w:t>Generali</w:t>
      </w:r>
      <w:proofErr w:type="spellEnd"/>
      <w:r w:rsidRPr="00DD2435">
        <w:t xml:space="preserve"> </w:t>
      </w:r>
      <w:proofErr w:type="spellStart"/>
      <w:r w:rsidRPr="00DD2435">
        <w:t>Investments</w:t>
      </w:r>
      <w:proofErr w:type="spellEnd"/>
      <w:r w:rsidRPr="00DD2435">
        <w:t xml:space="preserve"> CEE, a. s. + ČP INVEST, a. s.</w:t>
      </w:r>
    </w:p>
    <w:p w:rsidR="00BF424C" w:rsidRPr="00DD2435" w:rsidRDefault="00BF424C" w:rsidP="00F9571A">
      <w:pPr>
        <w:spacing w:line="360" w:lineRule="auto"/>
        <w:jc w:val="both"/>
      </w:pPr>
    </w:p>
    <w:p w:rsidR="00BF424C" w:rsidRDefault="00BF424C" w:rsidP="00F9571A">
      <w:pPr>
        <w:spacing w:line="360" w:lineRule="auto"/>
        <w:jc w:val="both"/>
      </w:pPr>
      <w:r w:rsidRPr="00DD2435">
        <w:tab/>
        <w:t xml:space="preserve">ING Bank ČR i v tomto roce provedla průzkum, jak domácnosti v současné době spoří. Na základě zveřejněných dat by si české domácnosti v druhém čtvrtletí 2015 vystačily se svými úsporami v průměru 3 měsíce a 27 dní. Mírný meziroční růst také zaznamenal ukazatel potenciálu </w:t>
      </w:r>
      <w:r>
        <w:t xml:space="preserve">spoření, podle kterého průměrně převyšovaly příjmy domácností výdaje </w:t>
      </w:r>
      <w:r w:rsidRPr="00257513">
        <w:t>o 31 </w:t>
      </w:r>
      <w:r>
        <w:t>%.</w:t>
      </w:r>
    </w:p>
    <w:p w:rsidR="004854C1" w:rsidRPr="00924AE7" w:rsidRDefault="004854C1" w:rsidP="00F9571A">
      <w:pPr>
        <w:spacing w:line="360" w:lineRule="auto"/>
      </w:pPr>
    </w:p>
    <w:p w:rsidR="00027CCF" w:rsidRPr="00924AE7" w:rsidRDefault="00027CCF" w:rsidP="00F9571A">
      <w:pPr>
        <w:spacing w:line="360" w:lineRule="auto"/>
      </w:pPr>
    </w:p>
    <w:p w:rsidR="004854C1" w:rsidRPr="00924AE7" w:rsidRDefault="004854C1" w:rsidP="00F9571A">
      <w:pPr>
        <w:pStyle w:val="Nadpis1"/>
        <w:numPr>
          <w:ilvl w:val="0"/>
          <w:numId w:val="0"/>
        </w:numPr>
        <w:rPr>
          <w:i/>
          <w:iCs/>
          <w:szCs w:val="36"/>
        </w:rPr>
      </w:pPr>
      <w:r w:rsidRPr="00924AE7">
        <w:rPr>
          <w:i/>
          <w:iCs/>
          <w:szCs w:val="36"/>
        </w:rPr>
        <w:lastRenderedPageBreak/>
        <w:t>C. Vývoj ve 3. čtvrtletí 201</w:t>
      </w:r>
      <w:r w:rsidR="008A25E6">
        <w:rPr>
          <w:i/>
          <w:iCs/>
          <w:szCs w:val="36"/>
        </w:rPr>
        <w:t>5</w:t>
      </w:r>
      <w:r w:rsidRPr="00924AE7">
        <w:rPr>
          <w:i/>
          <w:iCs/>
          <w:szCs w:val="36"/>
        </w:rPr>
        <w:t xml:space="preserve"> a predikce na další období</w:t>
      </w:r>
    </w:p>
    <w:p w:rsidR="004854C1" w:rsidRDefault="004854C1" w:rsidP="00F9571A">
      <w:pPr>
        <w:pStyle w:val="Zpat"/>
        <w:tabs>
          <w:tab w:val="clear" w:pos="4536"/>
          <w:tab w:val="clear" w:pos="9072"/>
        </w:tabs>
        <w:spacing w:line="360" w:lineRule="auto"/>
      </w:pPr>
    </w:p>
    <w:p w:rsidR="001C1A91" w:rsidRDefault="001C1A91" w:rsidP="00F9571A">
      <w:pPr>
        <w:pStyle w:val="Zpat"/>
        <w:tabs>
          <w:tab w:val="clear" w:pos="4536"/>
          <w:tab w:val="clear" w:pos="9072"/>
        </w:tabs>
        <w:spacing w:line="360" w:lineRule="auto"/>
      </w:pPr>
    </w:p>
    <w:p w:rsidR="0051503B" w:rsidRDefault="0051503B" w:rsidP="00F9571A">
      <w:pPr>
        <w:pStyle w:val="Zpat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tab/>
      </w:r>
      <w:r w:rsidRPr="00A960A6">
        <w:rPr>
          <w:b/>
        </w:rPr>
        <w:t>Základní</w:t>
      </w:r>
      <w:r w:rsidRPr="00A960A6">
        <w:t xml:space="preserve"> (dosažitelné) </w:t>
      </w:r>
      <w:r w:rsidRPr="00A960A6">
        <w:rPr>
          <w:b/>
        </w:rPr>
        <w:t>poznatky</w:t>
      </w:r>
      <w:r w:rsidRPr="00A960A6">
        <w:t xml:space="preserve"> </w:t>
      </w:r>
      <w:r w:rsidRPr="00A960A6">
        <w:rPr>
          <w:b/>
          <w:bCs/>
        </w:rPr>
        <w:t xml:space="preserve">o vývoji </w:t>
      </w:r>
      <w:r w:rsidRPr="00A960A6">
        <w:t>příjmů a výdajů domácností</w:t>
      </w:r>
      <w:r w:rsidRPr="00A960A6">
        <w:rPr>
          <w:b/>
          <w:bCs/>
        </w:rPr>
        <w:t xml:space="preserve"> v červenci - září 2015 se </w:t>
      </w:r>
      <w:r w:rsidRPr="00A960A6">
        <w:rPr>
          <w:b/>
        </w:rPr>
        <w:t xml:space="preserve">výrazněji </w:t>
      </w:r>
      <w:r w:rsidRPr="00A960A6">
        <w:rPr>
          <w:b/>
          <w:bCs/>
        </w:rPr>
        <w:t xml:space="preserve">neliší </w:t>
      </w:r>
      <w:r w:rsidRPr="00A960A6">
        <w:rPr>
          <w:bCs/>
        </w:rPr>
        <w:t>od dříve uvedených tendencí.</w:t>
      </w:r>
    </w:p>
    <w:p w:rsidR="0051503B" w:rsidRDefault="0051503B" w:rsidP="00F9571A">
      <w:pPr>
        <w:pStyle w:val="Zpat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DB24B7" w:rsidRDefault="00DB24B7" w:rsidP="00DB24B7">
      <w:pPr>
        <w:spacing w:line="360" w:lineRule="auto"/>
        <w:jc w:val="both"/>
      </w:pPr>
      <w:r>
        <w:rPr>
          <w:bCs/>
        </w:rPr>
        <w:tab/>
      </w:r>
      <w:r>
        <w:rPr>
          <w:b/>
          <w:bCs/>
        </w:rPr>
        <w:t>Ke kladnému vývoji ekonomiky ČR přispívají</w:t>
      </w:r>
      <w:r>
        <w:t xml:space="preserve"> v současné době </w:t>
      </w:r>
      <w:r>
        <w:rPr>
          <w:b/>
          <w:bCs/>
        </w:rPr>
        <w:t>spolu s investicemi na tvorbu hrubého fixního kapitálu</w:t>
      </w:r>
      <w:r>
        <w:t xml:space="preserve"> nejvíce </w:t>
      </w:r>
      <w:r>
        <w:rPr>
          <w:b/>
          <w:bCs/>
        </w:rPr>
        <w:t>výdaje na konečnou spotřebu domácností</w:t>
      </w:r>
      <w:r>
        <w:t xml:space="preserve"> a </w:t>
      </w:r>
      <w:r>
        <w:rPr>
          <w:b/>
          <w:bCs/>
        </w:rPr>
        <w:t>výdaje vládních institucí</w:t>
      </w:r>
      <w:r>
        <w:t xml:space="preserve">. </w:t>
      </w:r>
      <w:r>
        <w:rPr>
          <w:b/>
          <w:bCs/>
        </w:rPr>
        <w:t>Pozitivně</w:t>
      </w:r>
      <w:r>
        <w:t xml:space="preserve"> </w:t>
      </w:r>
      <w:r>
        <w:rPr>
          <w:b/>
          <w:bCs/>
        </w:rPr>
        <w:t>se</w:t>
      </w:r>
      <w:r>
        <w:t xml:space="preserve"> hlavně kromě proinvestiční politiky </w:t>
      </w:r>
      <w:r>
        <w:rPr>
          <w:b/>
          <w:bCs/>
        </w:rPr>
        <w:t>projevil</w:t>
      </w:r>
      <w:r>
        <w:t xml:space="preserve"> reálný </w:t>
      </w:r>
      <w:r>
        <w:rPr>
          <w:b/>
          <w:bCs/>
        </w:rPr>
        <w:t>růst příjmů domácností</w:t>
      </w:r>
      <w:r>
        <w:t xml:space="preserve"> a klesající nezaměstnanost. Tyto trendy budou nadále pokračovat, a proto </w:t>
      </w:r>
      <w:r>
        <w:rPr>
          <w:b/>
          <w:bCs/>
        </w:rPr>
        <w:t>lze očekávat</w:t>
      </w:r>
      <w:r>
        <w:t xml:space="preserve"> ve třetím a čtvrtém čtvrtletí tohoto roku </w:t>
      </w:r>
      <w:r>
        <w:rPr>
          <w:b/>
          <w:bCs/>
        </w:rPr>
        <w:t xml:space="preserve">podobnou dynamiku mezičtvrtletního růstu HDP jako v prvních dvou čtvrtletích roku 2015, </w:t>
      </w:r>
      <w:r>
        <w:t xml:space="preserve">zřejmě však již </w:t>
      </w:r>
      <w:r>
        <w:rPr>
          <w:b/>
          <w:bCs/>
        </w:rPr>
        <w:t>s mírně nižšími meziročními hodnotami nárůstu HDP.</w:t>
      </w:r>
    </w:p>
    <w:p w:rsidR="0051503B" w:rsidRPr="00A960A6" w:rsidRDefault="0051503B" w:rsidP="001C1A91">
      <w:pPr>
        <w:spacing w:line="360" w:lineRule="auto"/>
        <w:jc w:val="both"/>
      </w:pPr>
    </w:p>
    <w:p w:rsidR="0051503B" w:rsidRPr="00A960A6" w:rsidRDefault="0051503B" w:rsidP="00F9571A">
      <w:pPr>
        <w:ind w:left="708"/>
        <w:jc w:val="both"/>
        <w:rPr>
          <w:b/>
          <w:u w:val="single"/>
        </w:rPr>
      </w:pPr>
      <w:r w:rsidRPr="00A960A6">
        <w:rPr>
          <w:b/>
          <w:u w:val="single"/>
        </w:rPr>
        <w:t>Za celý rok 2015 očekáváme nárůst HDP v rozsahu 3,6 až 4,4</w:t>
      </w:r>
      <w:r w:rsidR="00F9571A">
        <w:rPr>
          <w:b/>
          <w:u w:val="single"/>
        </w:rPr>
        <w:t> </w:t>
      </w:r>
      <w:r w:rsidRPr="00A960A6">
        <w:rPr>
          <w:b/>
          <w:u w:val="single"/>
        </w:rPr>
        <w:t xml:space="preserve">%, o něco nižší růst – vzhledem k výchozí základně </w:t>
      </w:r>
      <w:r w:rsidR="00F9571A">
        <w:rPr>
          <w:b/>
          <w:u w:val="single"/>
        </w:rPr>
        <w:t>–</w:t>
      </w:r>
      <w:r w:rsidRPr="00A960A6">
        <w:rPr>
          <w:b/>
          <w:u w:val="single"/>
        </w:rPr>
        <w:t xml:space="preserve"> je predikován i pro rok 2016 (růst v rozmezí 2,4 až 3,2 % meziročně).</w:t>
      </w:r>
    </w:p>
    <w:p w:rsidR="0051503B" w:rsidRDefault="0051503B" w:rsidP="001F5BEA">
      <w:pPr>
        <w:jc w:val="both"/>
        <w:rPr>
          <w:b/>
          <w:bCs/>
        </w:rPr>
      </w:pPr>
    </w:p>
    <w:p w:rsidR="001F5BEA" w:rsidRDefault="001F5BEA" w:rsidP="001F5BEA">
      <w:pPr>
        <w:jc w:val="both"/>
        <w:rPr>
          <w:b/>
          <w:bCs/>
        </w:rPr>
      </w:pPr>
    </w:p>
    <w:p w:rsidR="0051503B" w:rsidRPr="00A960A6" w:rsidRDefault="00F9571A" w:rsidP="00F9571A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51503B" w:rsidRPr="00A960A6">
        <w:rPr>
          <w:b/>
          <w:bCs/>
        </w:rPr>
        <w:t>Z oblastí ovlivňujících příjmy domácností</w:t>
      </w:r>
      <w:r w:rsidR="0051503B" w:rsidRPr="00A960A6">
        <w:t xml:space="preserve"> jsou prozatím jedinými dostupnými údaji základní </w:t>
      </w:r>
      <w:r w:rsidR="0051503B" w:rsidRPr="00A960A6">
        <w:rPr>
          <w:b/>
          <w:bCs/>
        </w:rPr>
        <w:t xml:space="preserve">data o mzdách v průmyslu a stavebnictví za první dva měsíce 3. čtvrtletí, </w:t>
      </w:r>
      <w:r w:rsidR="0051503B" w:rsidRPr="00A960A6">
        <w:t>z nichž</w:t>
      </w:r>
      <w:r w:rsidR="0051503B" w:rsidRPr="00A960A6">
        <w:rPr>
          <w:b/>
          <w:bCs/>
        </w:rPr>
        <w:t xml:space="preserve"> </w:t>
      </w:r>
      <w:r w:rsidR="0051503B" w:rsidRPr="00A960A6">
        <w:t xml:space="preserve">vyplynuly tyto </w:t>
      </w:r>
      <w:r w:rsidR="0051503B" w:rsidRPr="00A960A6">
        <w:rPr>
          <w:b/>
          <w:bCs/>
        </w:rPr>
        <w:t>dílčí poznatky:</w:t>
      </w:r>
    </w:p>
    <w:p w:rsidR="0051503B" w:rsidRPr="00A960A6" w:rsidRDefault="0051503B" w:rsidP="001F5BEA">
      <w:pPr>
        <w:numPr>
          <w:ilvl w:val="0"/>
          <w:numId w:val="26"/>
        </w:numPr>
        <w:tabs>
          <w:tab w:val="clear" w:pos="360"/>
          <w:tab w:val="num" w:pos="1080"/>
        </w:tabs>
        <w:spacing w:after="240" w:line="360" w:lineRule="auto"/>
        <w:ind w:left="720"/>
        <w:jc w:val="both"/>
        <w:rPr>
          <w:rFonts w:cs="Arial"/>
        </w:rPr>
      </w:pPr>
      <w:r w:rsidRPr="00A960A6">
        <w:rPr>
          <w:rFonts w:cs="Arial"/>
          <w:b/>
          <w:bCs/>
        </w:rPr>
        <w:t>v červenci a v srpnu došlo v </w:t>
      </w:r>
      <w:r w:rsidRPr="00A960A6">
        <w:rPr>
          <w:rFonts w:cs="Arial"/>
        </w:rPr>
        <w:t>odvětví</w:t>
      </w:r>
      <w:r w:rsidRPr="00A960A6">
        <w:rPr>
          <w:rFonts w:cs="Arial"/>
          <w:b/>
          <w:bCs/>
        </w:rPr>
        <w:t xml:space="preserve"> průmyslu</w:t>
      </w:r>
      <w:r w:rsidRPr="00A960A6">
        <w:rPr>
          <w:rFonts w:cs="Arial"/>
        </w:rPr>
        <w:t xml:space="preserve"> v podnicích s 50 a více zaměstnanci </w:t>
      </w:r>
      <w:r w:rsidRPr="00A960A6">
        <w:rPr>
          <w:rFonts w:cs="Arial"/>
          <w:b/>
          <w:bCs/>
        </w:rPr>
        <w:t>k meziročnímu zvýšení</w:t>
      </w:r>
      <w:r w:rsidRPr="00A960A6">
        <w:rPr>
          <w:rFonts w:cs="Arial"/>
        </w:rPr>
        <w:t xml:space="preserve"> průměrného evidenčního </w:t>
      </w:r>
      <w:r w:rsidRPr="00A960A6">
        <w:rPr>
          <w:rFonts w:cs="Arial"/>
          <w:b/>
          <w:bCs/>
        </w:rPr>
        <w:t>počtu zaměstnanců</w:t>
      </w:r>
      <w:r w:rsidRPr="00A960A6">
        <w:rPr>
          <w:rFonts w:cs="Arial"/>
        </w:rPr>
        <w:t xml:space="preserve"> (v červenci o 3,3 % a v srpnu o 3,2 %), </w:t>
      </w:r>
      <w:r w:rsidRPr="00A960A6">
        <w:rPr>
          <w:rFonts w:cs="Arial"/>
          <w:b/>
          <w:bCs/>
        </w:rPr>
        <w:t>ve stavebních podnicích</w:t>
      </w:r>
      <w:r w:rsidRPr="00A960A6">
        <w:rPr>
          <w:rFonts w:cs="Arial"/>
        </w:rPr>
        <w:t xml:space="preserve"> (s 50 a více zaměstnanci) </w:t>
      </w:r>
      <w:r w:rsidRPr="00A960A6">
        <w:rPr>
          <w:rFonts w:cs="Arial"/>
          <w:b/>
          <w:bCs/>
        </w:rPr>
        <w:t>jejich počet</w:t>
      </w:r>
      <w:r w:rsidRPr="00A960A6">
        <w:rPr>
          <w:rFonts w:cs="Arial"/>
        </w:rPr>
        <w:t xml:space="preserve"> naopak meziročně </w:t>
      </w:r>
      <w:r w:rsidRPr="00A960A6">
        <w:rPr>
          <w:rFonts w:cs="Arial"/>
          <w:b/>
        </w:rPr>
        <w:t>poklesl</w:t>
      </w:r>
      <w:r w:rsidRPr="00A960A6">
        <w:rPr>
          <w:rFonts w:cs="Arial"/>
          <w:b/>
          <w:bCs/>
        </w:rPr>
        <w:t xml:space="preserve"> </w:t>
      </w:r>
      <w:r w:rsidRPr="00A960A6">
        <w:rPr>
          <w:rFonts w:cs="Arial"/>
        </w:rPr>
        <w:t>(v červenci o 2,1 % a v srpnu o 2,9 %),</w:t>
      </w:r>
    </w:p>
    <w:p w:rsidR="0051503B" w:rsidRPr="00A960A6" w:rsidRDefault="0051503B" w:rsidP="00F9571A">
      <w:pPr>
        <w:numPr>
          <w:ilvl w:val="0"/>
          <w:numId w:val="26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cs="Arial"/>
        </w:rPr>
      </w:pPr>
      <w:r w:rsidRPr="00A960A6">
        <w:rPr>
          <w:rFonts w:cs="Arial"/>
          <w:b/>
          <w:bCs/>
        </w:rPr>
        <w:t>průměrná</w:t>
      </w:r>
      <w:r w:rsidRPr="00A960A6">
        <w:rPr>
          <w:rFonts w:cs="Arial"/>
        </w:rPr>
        <w:t xml:space="preserve"> měsíční </w:t>
      </w:r>
      <w:r w:rsidRPr="00A960A6">
        <w:rPr>
          <w:rFonts w:cs="Arial"/>
          <w:b/>
          <w:bCs/>
        </w:rPr>
        <w:t xml:space="preserve">nominální mzda </w:t>
      </w:r>
      <w:r w:rsidRPr="00A960A6">
        <w:rPr>
          <w:rFonts w:cs="Arial"/>
          <w:bCs/>
        </w:rPr>
        <w:t xml:space="preserve">těchto </w:t>
      </w:r>
      <w:r w:rsidRPr="00A960A6">
        <w:rPr>
          <w:rFonts w:cs="Arial"/>
        </w:rPr>
        <w:t xml:space="preserve">zaměstnanců </w:t>
      </w:r>
      <w:r w:rsidRPr="00A960A6">
        <w:rPr>
          <w:rFonts w:cs="Arial"/>
          <w:b/>
          <w:bCs/>
        </w:rPr>
        <w:t>v průmyslu vzrostla v červenci</w:t>
      </w:r>
      <w:r w:rsidRPr="00A960A6">
        <w:rPr>
          <w:rFonts w:cs="Arial"/>
        </w:rPr>
        <w:t xml:space="preserve"> meziročně </w:t>
      </w:r>
      <w:r w:rsidRPr="00A960A6">
        <w:rPr>
          <w:rFonts w:cs="Arial"/>
          <w:b/>
          <w:bCs/>
        </w:rPr>
        <w:t xml:space="preserve">o 3,0 % </w:t>
      </w:r>
      <w:r w:rsidRPr="00A960A6">
        <w:rPr>
          <w:rFonts w:cs="Arial"/>
          <w:bCs/>
        </w:rPr>
        <w:t xml:space="preserve">(reálně o 2,5 %) </w:t>
      </w:r>
      <w:r w:rsidRPr="00A960A6">
        <w:rPr>
          <w:rFonts w:cs="Arial"/>
          <w:b/>
          <w:bCs/>
        </w:rPr>
        <w:t>a v srpnu</w:t>
      </w:r>
      <w:r w:rsidRPr="00A960A6">
        <w:rPr>
          <w:rFonts w:cs="Arial"/>
        </w:rPr>
        <w:t xml:space="preserve"> (kdy činila 26 759 Kč) </w:t>
      </w:r>
      <w:r w:rsidRPr="00A960A6">
        <w:rPr>
          <w:rFonts w:cs="Arial"/>
          <w:b/>
        </w:rPr>
        <w:t>o 2</w:t>
      </w:r>
      <w:r w:rsidRPr="00A960A6">
        <w:rPr>
          <w:rFonts w:cs="Arial"/>
          <w:b/>
          <w:bCs/>
        </w:rPr>
        <w:t xml:space="preserve">,5 % </w:t>
      </w:r>
      <w:r w:rsidRPr="00A960A6">
        <w:rPr>
          <w:rFonts w:cs="Arial"/>
          <w:bCs/>
        </w:rPr>
        <w:t>(reálně</w:t>
      </w:r>
      <w:r w:rsidRPr="00A960A6">
        <w:rPr>
          <w:rFonts w:cs="Arial"/>
        </w:rPr>
        <w:t xml:space="preserve"> o 2,2 %). </w:t>
      </w:r>
      <w:r w:rsidRPr="00A960A6">
        <w:rPr>
          <w:rFonts w:cs="Arial"/>
          <w:b/>
        </w:rPr>
        <w:t>Ve </w:t>
      </w:r>
      <w:r w:rsidRPr="00A960A6">
        <w:rPr>
          <w:rFonts w:cs="Arial"/>
          <w:b/>
          <w:bCs/>
        </w:rPr>
        <w:t>stavebních podnicích</w:t>
      </w:r>
      <w:r w:rsidRPr="00A960A6">
        <w:rPr>
          <w:rFonts w:cs="Arial"/>
        </w:rPr>
        <w:t xml:space="preserve"> </w:t>
      </w:r>
      <w:r w:rsidRPr="00A960A6">
        <w:rPr>
          <w:rFonts w:cs="Arial"/>
          <w:b/>
          <w:bCs/>
        </w:rPr>
        <w:t>se zvýšila</w:t>
      </w:r>
      <w:r w:rsidRPr="00A960A6">
        <w:rPr>
          <w:rFonts w:cs="Arial"/>
        </w:rPr>
        <w:t xml:space="preserve"> průměrná měsíční </w:t>
      </w:r>
      <w:r w:rsidRPr="00A960A6">
        <w:rPr>
          <w:rFonts w:cs="Arial"/>
          <w:b/>
          <w:bCs/>
        </w:rPr>
        <w:t>nominální mzda</w:t>
      </w:r>
      <w:r w:rsidRPr="00A960A6">
        <w:rPr>
          <w:rFonts w:cs="Arial"/>
        </w:rPr>
        <w:t xml:space="preserve"> výše uvedených zaměstnanců meziročně </w:t>
      </w:r>
      <w:r w:rsidRPr="00A960A6">
        <w:rPr>
          <w:rFonts w:cs="Arial"/>
          <w:b/>
          <w:bCs/>
        </w:rPr>
        <w:lastRenderedPageBreak/>
        <w:t xml:space="preserve">o 7,3 % </w:t>
      </w:r>
      <w:r w:rsidRPr="00A960A6">
        <w:rPr>
          <w:rFonts w:cs="Arial"/>
        </w:rPr>
        <w:t xml:space="preserve">(červenec), resp. </w:t>
      </w:r>
      <w:r w:rsidRPr="00A960A6">
        <w:rPr>
          <w:rFonts w:cs="Arial"/>
          <w:b/>
        </w:rPr>
        <w:t>o 6,8 </w:t>
      </w:r>
      <w:r w:rsidRPr="00A960A6">
        <w:rPr>
          <w:rFonts w:cs="Arial"/>
          <w:b/>
          <w:bCs/>
        </w:rPr>
        <w:t>%</w:t>
      </w:r>
      <w:r w:rsidRPr="00A960A6">
        <w:rPr>
          <w:rFonts w:cs="Arial"/>
        </w:rPr>
        <w:t xml:space="preserve"> (srpen) a v srpnu dosáhla v absolutním vyjádření 30 258 Kč. K meziročnímu zvýšení došlo ve stavebnictví u reálné mzdy v červenci o 6,8 %, v srpnu byl zaznamenán nárůst o 6,5 %.</w:t>
      </w:r>
    </w:p>
    <w:p w:rsidR="0051503B" w:rsidRPr="00A960A6" w:rsidRDefault="0051503B" w:rsidP="0051503B">
      <w:pPr>
        <w:spacing w:line="360" w:lineRule="auto"/>
        <w:jc w:val="both"/>
        <w:rPr>
          <w:rFonts w:cs="Arial"/>
        </w:rPr>
      </w:pPr>
    </w:p>
    <w:p w:rsidR="0051503B" w:rsidRPr="00A960A6" w:rsidRDefault="0051503B" w:rsidP="00F9571A">
      <w:pPr>
        <w:ind w:left="708"/>
        <w:jc w:val="both"/>
        <w:rPr>
          <w:rFonts w:cs="Arial"/>
          <w:b/>
          <w:bCs/>
          <w:u w:val="single"/>
        </w:rPr>
      </w:pPr>
      <w:r w:rsidRPr="00A960A6">
        <w:rPr>
          <w:rFonts w:cs="Arial"/>
          <w:b/>
          <w:bCs/>
          <w:u w:val="single"/>
        </w:rPr>
        <w:t>Přírůstek průměrné nominální mzdy v národním hospodářství ČR by mohl v letošním roce dosáhnout cca 3,4 % a v roce 2016 by se mohl pohybovat kolem 4,0 %. Reálná mzda by se při zohlednění predikované míry cenové inflace (viz dále) mohla letos zvýšit o 3,0 %.</w:t>
      </w:r>
    </w:p>
    <w:p w:rsidR="0051503B" w:rsidRDefault="0051503B" w:rsidP="001F5BEA">
      <w:pPr>
        <w:jc w:val="both"/>
      </w:pPr>
    </w:p>
    <w:p w:rsidR="001F5BEA" w:rsidRDefault="001F5BEA" w:rsidP="001F5BEA">
      <w:pPr>
        <w:jc w:val="both"/>
      </w:pPr>
    </w:p>
    <w:p w:rsidR="0051503B" w:rsidRPr="00A960A6" w:rsidRDefault="00F9571A" w:rsidP="00F9571A">
      <w:pPr>
        <w:spacing w:line="360" w:lineRule="auto"/>
        <w:jc w:val="both"/>
      </w:pPr>
      <w:r w:rsidRPr="00DD2435">
        <w:tab/>
      </w:r>
      <w:r w:rsidR="0051503B" w:rsidRPr="00A960A6">
        <w:rPr>
          <w:b/>
          <w:bCs/>
        </w:rPr>
        <w:t xml:space="preserve">Tendence o něco rychlejšího meziročního vývoje čistých příjmů se </w:t>
      </w:r>
      <w:r w:rsidR="0051503B" w:rsidRPr="00A960A6">
        <w:t>ve 3.</w:t>
      </w:r>
      <w:r w:rsidR="002251CD">
        <w:t> </w:t>
      </w:r>
      <w:r w:rsidR="0051503B" w:rsidRPr="00A960A6">
        <w:t xml:space="preserve">čtvrtletí pravděpodobně oproti předchozím obdobím výrazněji </w:t>
      </w:r>
      <w:r w:rsidR="0051503B" w:rsidRPr="00A960A6">
        <w:rPr>
          <w:b/>
          <w:bCs/>
        </w:rPr>
        <w:t xml:space="preserve">nezmění </w:t>
      </w:r>
      <w:r w:rsidR="0051503B" w:rsidRPr="00A960A6">
        <w:rPr>
          <w:bCs/>
        </w:rPr>
        <w:t>(data statistik národních i rodinných účtů nejsou ještě k dispozici).</w:t>
      </w:r>
      <w:r w:rsidR="0051503B" w:rsidRPr="00A960A6">
        <w:t xml:space="preserve"> Lze odhadovat, že</w:t>
      </w:r>
      <w:r w:rsidR="008A6F80">
        <w:t xml:space="preserve"> </w:t>
      </w:r>
      <w:r w:rsidR="0051503B" w:rsidRPr="00A960A6">
        <w:rPr>
          <w:b/>
        </w:rPr>
        <w:t>dynamika</w:t>
      </w:r>
      <w:r w:rsidR="0051503B" w:rsidRPr="00A960A6">
        <w:t xml:space="preserve"> nominálních </w:t>
      </w:r>
      <w:r w:rsidR="0051503B" w:rsidRPr="00A960A6">
        <w:rPr>
          <w:b/>
        </w:rPr>
        <w:t>příjmů</w:t>
      </w:r>
      <w:r w:rsidR="0051503B" w:rsidRPr="00A960A6">
        <w:t xml:space="preserve"> byla v průměru nadále na úrovni kolem </w:t>
      </w:r>
      <w:r w:rsidR="0051503B" w:rsidRPr="00A960A6">
        <w:rPr>
          <w:b/>
        </w:rPr>
        <w:t xml:space="preserve">1,5 – 2,5 % </w:t>
      </w:r>
      <w:r w:rsidR="0051503B" w:rsidRPr="00A960A6">
        <w:t xml:space="preserve">(vyšší údaj platí spíše pro makroúroveň), což znamená, že </w:t>
      </w:r>
      <w:r w:rsidR="0051503B" w:rsidRPr="00A960A6">
        <w:rPr>
          <w:bCs/>
        </w:rPr>
        <w:t xml:space="preserve">jejich </w:t>
      </w:r>
      <w:r w:rsidR="0051503B" w:rsidRPr="00A960A6">
        <w:rPr>
          <w:b/>
          <w:bCs/>
        </w:rPr>
        <w:t xml:space="preserve">kupní síla </w:t>
      </w:r>
      <w:r w:rsidR="008A6F80">
        <w:rPr>
          <w:bCs/>
        </w:rPr>
        <w:t>–</w:t>
      </w:r>
      <w:r w:rsidR="0051503B" w:rsidRPr="00A960A6">
        <w:rPr>
          <w:b/>
          <w:bCs/>
        </w:rPr>
        <w:t xml:space="preserve"> </w:t>
      </w:r>
      <w:r w:rsidR="0051503B" w:rsidRPr="00A960A6">
        <w:rPr>
          <w:bCs/>
        </w:rPr>
        <w:t>při</w:t>
      </w:r>
      <w:r w:rsidR="008A6F80">
        <w:rPr>
          <w:bCs/>
        </w:rPr>
        <w:t> </w:t>
      </w:r>
      <w:r w:rsidR="0051503B" w:rsidRPr="00A960A6">
        <w:rPr>
          <w:bCs/>
        </w:rPr>
        <w:t>trvale nižší inflaci - byla v průměru</w:t>
      </w:r>
      <w:r w:rsidR="0051503B" w:rsidRPr="00A960A6">
        <w:rPr>
          <w:b/>
          <w:bCs/>
        </w:rPr>
        <w:t xml:space="preserve"> vyšší než</w:t>
      </w:r>
      <w:r w:rsidR="0051503B" w:rsidRPr="00A960A6">
        <w:rPr>
          <w:bCs/>
        </w:rPr>
        <w:t xml:space="preserve"> před rokem.</w:t>
      </w:r>
    </w:p>
    <w:p w:rsidR="0051503B" w:rsidRPr="00A960A6" w:rsidRDefault="0051503B" w:rsidP="0051503B">
      <w:pPr>
        <w:spacing w:line="360" w:lineRule="auto"/>
        <w:ind w:firstLine="708"/>
        <w:jc w:val="both"/>
      </w:pPr>
    </w:p>
    <w:p w:rsidR="0051503B" w:rsidRPr="00A960A6" w:rsidRDefault="0051503B" w:rsidP="00F9571A">
      <w:pPr>
        <w:ind w:left="708"/>
        <w:jc w:val="both"/>
        <w:rPr>
          <w:b/>
          <w:u w:val="single"/>
        </w:rPr>
      </w:pPr>
      <w:r w:rsidRPr="00A960A6">
        <w:rPr>
          <w:b/>
          <w:u w:val="single"/>
        </w:rPr>
        <w:t xml:space="preserve">Za celý rok 2015 lze očekávat přírůstek nominálních čistých příjmů domácností (zejména vzhledem k vývoji mezd a sociálních příjmů) v rozsahu cca 1,5 – 2,0 %, tzn. rovněž přírůstek jejich reálné hodnoty; hrubý disponibilní důchod by se měl v růstu pohybovat jen mírně pod úrovní 3,0 %. </w:t>
      </w:r>
    </w:p>
    <w:p w:rsidR="00F9571A" w:rsidRDefault="00F9571A" w:rsidP="001F5BEA">
      <w:pPr>
        <w:jc w:val="both"/>
      </w:pPr>
    </w:p>
    <w:p w:rsidR="001F5BEA" w:rsidRDefault="001F5BEA" w:rsidP="001F5BEA">
      <w:pPr>
        <w:jc w:val="both"/>
      </w:pPr>
    </w:p>
    <w:p w:rsidR="0051503B" w:rsidRDefault="00F9571A" w:rsidP="00F9571A">
      <w:pPr>
        <w:spacing w:line="360" w:lineRule="auto"/>
        <w:jc w:val="both"/>
        <w:rPr>
          <w:b/>
        </w:rPr>
      </w:pPr>
      <w:r w:rsidRPr="00DD2435">
        <w:tab/>
      </w:r>
      <w:r w:rsidR="0051503B" w:rsidRPr="00A960A6">
        <w:t xml:space="preserve">Podle předběžných údajů dosáhl </w:t>
      </w:r>
      <w:r w:rsidR="0051503B" w:rsidRPr="00A960A6">
        <w:rPr>
          <w:b/>
        </w:rPr>
        <w:t>celkový objem sociálních příjmů</w:t>
      </w:r>
      <w:r w:rsidR="0051503B" w:rsidRPr="00A960A6">
        <w:t xml:space="preserve"> v 1.</w:t>
      </w:r>
      <w:r w:rsidR="008A6F80">
        <w:t> </w:t>
      </w:r>
      <w:r w:rsidR="0051503B" w:rsidRPr="00A960A6">
        <w:t>až</w:t>
      </w:r>
      <w:r w:rsidR="008A6F80">
        <w:t> </w:t>
      </w:r>
      <w:r w:rsidR="0051503B" w:rsidRPr="00A960A6">
        <w:t xml:space="preserve">3. čtvrtletí tohoto roku </w:t>
      </w:r>
      <w:r w:rsidR="0051503B" w:rsidRPr="00A960A6">
        <w:rPr>
          <w:b/>
        </w:rPr>
        <w:t>361,6 mld. Kč</w:t>
      </w:r>
      <w:r>
        <w:rPr>
          <w:b/>
        </w:rPr>
        <w:t>.</w:t>
      </w:r>
    </w:p>
    <w:p w:rsidR="00F9571A" w:rsidRDefault="00F9571A" w:rsidP="00F9571A">
      <w:pPr>
        <w:spacing w:line="360" w:lineRule="auto"/>
        <w:jc w:val="both"/>
        <w:rPr>
          <w:b/>
        </w:rPr>
      </w:pPr>
    </w:p>
    <w:p w:rsidR="0051503B" w:rsidRPr="00A960A6" w:rsidRDefault="00F9571A" w:rsidP="00F9571A">
      <w:pPr>
        <w:spacing w:line="360" w:lineRule="auto"/>
        <w:jc w:val="both"/>
      </w:pPr>
      <w:r>
        <w:rPr>
          <w:b/>
        </w:rPr>
        <w:tab/>
      </w:r>
      <w:r w:rsidR="0051503B" w:rsidRPr="00A960A6">
        <w:t>V rámci</w:t>
      </w:r>
      <w:r w:rsidR="0051503B" w:rsidRPr="00A960A6">
        <w:rPr>
          <w:b/>
          <w:bCs/>
        </w:rPr>
        <w:t xml:space="preserve"> </w:t>
      </w:r>
      <w:r w:rsidR="0051503B" w:rsidRPr="00A960A6">
        <w:rPr>
          <w:bCs/>
        </w:rPr>
        <w:t>sociálních příjmů</w:t>
      </w:r>
      <w:r w:rsidR="0051503B" w:rsidRPr="00A960A6">
        <w:t xml:space="preserve"> </w:t>
      </w:r>
      <w:r w:rsidR="0051503B" w:rsidRPr="00A960A6">
        <w:rPr>
          <w:b/>
        </w:rPr>
        <w:t>činily</w:t>
      </w:r>
      <w:r w:rsidR="0051503B" w:rsidRPr="00A960A6">
        <w:rPr>
          <w:b/>
          <w:bCs/>
        </w:rPr>
        <w:t xml:space="preserve"> </w:t>
      </w:r>
      <w:r w:rsidR="0051503B" w:rsidRPr="00A960A6">
        <w:rPr>
          <w:b/>
        </w:rPr>
        <w:t>u</w:t>
      </w:r>
      <w:r w:rsidR="0051503B" w:rsidRPr="00A960A6">
        <w:t xml:space="preserve"> největší položky </w:t>
      </w:r>
      <w:r w:rsidR="008A6F80">
        <w:t>–</w:t>
      </w:r>
      <w:r w:rsidR="0051503B" w:rsidRPr="00A960A6">
        <w:t xml:space="preserve"> </w:t>
      </w:r>
      <w:r w:rsidR="0051503B" w:rsidRPr="00A960A6">
        <w:rPr>
          <w:b/>
          <w:bCs/>
        </w:rPr>
        <w:t xml:space="preserve">důchodů výdaje </w:t>
      </w:r>
      <w:r w:rsidR="0051503B" w:rsidRPr="00A960A6">
        <w:rPr>
          <w:bCs/>
        </w:rPr>
        <w:t>předběžně</w:t>
      </w:r>
      <w:r w:rsidR="0051503B" w:rsidRPr="00A960A6">
        <w:rPr>
          <w:b/>
          <w:bCs/>
        </w:rPr>
        <w:t xml:space="preserve"> 283,4 mld.</w:t>
      </w:r>
      <w:r>
        <w:rPr>
          <w:b/>
          <w:bCs/>
        </w:rPr>
        <w:t> </w:t>
      </w:r>
      <w:r w:rsidR="0051503B" w:rsidRPr="00A960A6">
        <w:rPr>
          <w:b/>
          <w:bCs/>
        </w:rPr>
        <w:t>Kč</w:t>
      </w:r>
      <w:r>
        <w:rPr>
          <w:b/>
          <w:bCs/>
        </w:rPr>
        <w:t>,</w:t>
      </w:r>
      <w:r w:rsidR="0051503B" w:rsidRPr="00A960A6">
        <w:rPr>
          <w:bCs/>
        </w:rPr>
        <w:t xml:space="preserve"> </w:t>
      </w:r>
      <w:r w:rsidR="0051503B" w:rsidRPr="00A960A6">
        <w:t xml:space="preserve">průměrná výše samostatně vypláceného starobního důchodu </w:t>
      </w:r>
      <w:r w:rsidR="0051503B" w:rsidRPr="00A960A6">
        <w:rPr>
          <w:b/>
          <w:bCs/>
        </w:rPr>
        <w:t>od ledna do září t. r. vzrostla</w:t>
      </w:r>
      <w:r w:rsidR="0051503B" w:rsidRPr="00A960A6">
        <w:t xml:space="preserve"> meziročně o 2,4</w:t>
      </w:r>
      <w:r w:rsidR="0051503B" w:rsidRPr="00A960A6">
        <w:rPr>
          <w:b/>
          <w:bCs/>
        </w:rPr>
        <w:t> </w:t>
      </w:r>
      <w:r w:rsidR="0051503B" w:rsidRPr="00A960A6">
        <w:t xml:space="preserve">% </w:t>
      </w:r>
      <w:r w:rsidR="0051503B" w:rsidRPr="00A960A6">
        <w:rPr>
          <w:b/>
          <w:bCs/>
        </w:rPr>
        <w:t>na</w:t>
      </w:r>
      <w:r w:rsidR="0051503B" w:rsidRPr="00A960A6">
        <w:t xml:space="preserve"> </w:t>
      </w:r>
      <w:r w:rsidR="0051503B" w:rsidRPr="00A960A6">
        <w:rPr>
          <w:b/>
          <w:bCs/>
        </w:rPr>
        <w:t>11 322 Kč</w:t>
      </w:r>
      <w:r w:rsidR="00312C2A">
        <w:rPr>
          <w:b/>
          <w:bCs/>
        </w:rPr>
        <w:t>.</w:t>
      </w:r>
    </w:p>
    <w:p w:rsidR="0051503B" w:rsidRPr="00A960A6" w:rsidRDefault="0051503B" w:rsidP="0051503B">
      <w:pPr>
        <w:spacing w:line="360" w:lineRule="auto"/>
        <w:ind w:firstLine="709"/>
        <w:jc w:val="both"/>
      </w:pPr>
    </w:p>
    <w:p w:rsidR="0051503B" w:rsidRPr="00A960A6" w:rsidRDefault="0051503B" w:rsidP="00312C2A">
      <w:pPr>
        <w:ind w:left="708"/>
        <w:jc w:val="both"/>
        <w:rPr>
          <w:b/>
          <w:u w:val="single"/>
        </w:rPr>
      </w:pPr>
      <w:r w:rsidRPr="00A960A6">
        <w:rPr>
          <w:b/>
          <w:u w:val="single"/>
        </w:rPr>
        <w:t>Podle odhadu by průměrná výše samostatně vypláceného starobního důchodu mohla v letošním roce dosáhnout 11 331 Kč (meziroční index 102,4 %), v roce 2016 by mohla činit 11 427 Kč (index 100,8 %).</w:t>
      </w:r>
    </w:p>
    <w:p w:rsidR="0051503B" w:rsidRDefault="0051503B" w:rsidP="001F5BEA">
      <w:pPr>
        <w:jc w:val="both"/>
      </w:pPr>
    </w:p>
    <w:p w:rsidR="001F5BEA" w:rsidRDefault="001F5BEA" w:rsidP="001F5BEA">
      <w:pPr>
        <w:jc w:val="both"/>
      </w:pPr>
    </w:p>
    <w:p w:rsidR="0051503B" w:rsidRDefault="00312C2A" w:rsidP="00312C2A">
      <w:pPr>
        <w:spacing w:line="360" w:lineRule="auto"/>
        <w:jc w:val="both"/>
      </w:pPr>
      <w:r w:rsidRPr="00DD2435">
        <w:tab/>
      </w:r>
      <w:r w:rsidR="0051503B" w:rsidRPr="00A960A6">
        <w:t xml:space="preserve">Výdaje na </w:t>
      </w:r>
      <w:r w:rsidR="0051503B" w:rsidRPr="00A960A6">
        <w:rPr>
          <w:b/>
        </w:rPr>
        <w:t>dávky státní sociální podpory a pěstounské péče</w:t>
      </w:r>
      <w:r w:rsidR="0051503B" w:rsidRPr="00A960A6">
        <w:t xml:space="preserve"> činily předběžně v 1. až</w:t>
      </w:r>
      <w:r w:rsidR="0016154C">
        <w:t> </w:t>
      </w:r>
      <w:r w:rsidR="0051503B" w:rsidRPr="00A960A6">
        <w:t xml:space="preserve">3 čtvrtletí tohoto roku </w:t>
      </w:r>
      <w:r w:rsidR="0051503B" w:rsidRPr="00A960A6">
        <w:rPr>
          <w:b/>
        </w:rPr>
        <w:t>28,3 mld. Kč</w:t>
      </w:r>
      <w:r w:rsidR="0016154C">
        <w:rPr>
          <w:b/>
        </w:rPr>
        <w:t>,</w:t>
      </w:r>
      <w:r w:rsidR="0051503B" w:rsidRPr="00A960A6">
        <w:t xml:space="preserve"> což je stejně jako</w:t>
      </w:r>
      <w:r w:rsidR="0016154C">
        <w:t xml:space="preserve">               </w:t>
      </w:r>
      <w:r w:rsidR="0051503B" w:rsidRPr="00A960A6">
        <w:t xml:space="preserve"> v 1.</w:t>
      </w:r>
      <w:r w:rsidR="0016154C">
        <w:t> </w:t>
      </w:r>
      <w:r w:rsidR="0051503B" w:rsidRPr="00A960A6">
        <w:t>–</w:t>
      </w:r>
      <w:r w:rsidR="0016154C">
        <w:t> </w:t>
      </w:r>
      <w:r w:rsidR="0051503B" w:rsidRPr="00A960A6">
        <w:t>3. čtvrtletí 2014 a</w:t>
      </w:r>
      <w:r w:rsidR="0016154C">
        <w:t xml:space="preserve"> </w:t>
      </w:r>
      <w:r w:rsidR="0051503B" w:rsidRPr="00A960A6">
        <w:rPr>
          <w:b/>
        </w:rPr>
        <w:t>dávky pomoci v hmotné nouzi</w:t>
      </w:r>
      <w:r w:rsidR="0051503B" w:rsidRPr="00A960A6">
        <w:t xml:space="preserve"> </w:t>
      </w:r>
      <w:r w:rsidR="0051503B" w:rsidRPr="00A960A6">
        <w:rPr>
          <w:b/>
        </w:rPr>
        <w:t xml:space="preserve">8,0 mld. Kč </w:t>
      </w:r>
      <w:r w:rsidR="0051503B" w:rsidRPr="00A960A6">
        <w:t>(o 5,9 % méně).</w:t>
      </w:r>
    </w:p>
    <w:p w:rsidR="0051503B" w:rsidRDefault="0016154C" w:rsidP="0016154C">
      <w:pPr>
        <w:spacing w:line="360" w:lineRule="auto"/>
        <w:jc w:val="both"/>
      </w:pPr>
      <w:r>
        <w:lastRenderedPageBreak/>
        <w:tab/>
      </w:r>
      <w:r w:rsidR="0051503B" w:rsidRPr="00A960A6">
        <w:rPr>
          <w:b/>
        </w:rPr>
        <w:t>Výdaje na podporu v nezaměstnanosti</w:t>
      </w:r>
      <w:r w:rsidR="0051503B" w:rsidRPr="00A960A6">
        <w:t xml:space="preserve"> činily od ledna do září 2015 </w:t>
      </w:r>
      <w:r w:rsidR="0051503B" w:rsidRPr="00A960A6">
        <w:rPr>
          <w:b/>
        </w:rPr>
        <w:t>6,5 mld. Kč</w:t>
      </w:r>
      <w:r w:rsidR="0051503B" w:rsidRPr="00A960A6">
        <w:t xml:space="preserve"> a byly o 0,8 mld. nižší než ve stejném období předchozího roku. Počet uchazečů o zaměstnání poklesl ke konci září na 441,9 tis. osob (o 87,2 tis. méně než o rok dříve), z toho </w:t>
      </w:r>
      <w:r w:rsidR="0051503B" w:rsidRPr="00A960A6">
        <w:rPr>
          <w:b/>
        </w:rPr>
        <w:t>počet osob s podporou v nezaměstnanosti se k 30. září snížil na 86,4 tis.</w:t>
      </w:r>
      <w:r w:rsidR="0051503B" w:rsidRPr="00A960A6">
        <w:t xml:space="preserve"> (tj. na 19,6 % ze všech uchazečů). </w:t>
      </w:r>
      <w:r w:rsidR="0051503B" w:rsidRPr="00A960A6">
        <w:rPr>
          <w:b/>
        </w:rPr>
        <w:t>Podíl nezaměstnaných osob</w:t>
      </w:r>
      <w:r w:rsidR="0051503B" w:rsidRPr="00A960A6">
        <w:t xml:space="preserve"> meziročně klesl na </w:t>
      </w:r>
      <w:r w:rsidR="0051503B" w:rsidRPr="00A960A6">
        <w:rPr>
          <w:b/>
        </w:rPr>
        <w:t>6,0 %</w:t>
      </w:r>
      <w:r w:rsidR="0051503B" w:rsidRPr="00A960A6">
        <w:t xml:space="preserve"> (z loňských 7,3 %).</w:t>
      </w:r>
    </w:p>
    <w:p w:rsidR="0016154C" w:rsidRPr="00A960A6" w:rsidRDefault="0016154C" w:rsidP="0016154C">
      <w:pPr>
        <w:spacing w:line="360" w:lineRule="auto"/>
        <w:jc w:val="both"/>
        <w:rPr>
          <w:rFonts w:cs="Arial"/>
        </w:rPr>
      </w:pPr>
    </w:p>
    <w:p w:rsidR="0051503B" w:rsidRPr="00A960A6" w:rsidRDefault="0051503B" w:rsidP="0016154C">
      <w:pPr>
        <w:ind w:left="708"/>
        <w:jc w:val="both"/>
        <w:rPr>
          <w:rFonts w:cs="Arial"/>
          <w:b/>
          <w:u w:val="single"/>
        </w:rPr>
      </w:pPr>
      <w:r w:rsidRPr="00A960A6">
        <w:rPr>
          <w:rFonts w:cs="Arial"/>
          <w:b/>
          <w:u w:val="single"/>
        </w:rPr>
        <w:t>Lze očekávat, že za celý rok 2015 dosáhne podíl nezaměstnaných osob průměrné úrovně cca 6,6 %. V roce 2016 by se mohl podle aktuální predikce pohybovat v rozmezí 5,7 – 6,1 %.</w:t>
      </w:r>
    </w:p>
    <w:p w:rsidR="0016154C" w:rsidRDefault="0016154C" w:rsidP="001F5BEA">
      <w:pPr>
        <w:jc w:val="both"/>
      </w:pPr>
    </w:p>
    <w:p w:rsidR="001F5BEA" w:rsidRDefault="001F5BEA" w:rsidP="001F5BEA">
      <w:pPr>
        <w:jc w:val="both"/>
      </w:pPr>
    </w:p>
    <w:p w:rsidR="0051503B" w:rsidRDefault="0016154C" w:rsidP="0016154C">
      <w:pPr>
        <w:spacing w:line="360" w:lineRule="auto"/>
        <w:jc w:val="both"/>
      </w:pPr>
      <w:r w:rsidRPr="00DD2435">
        <w:tab/>
      </w:r>
      <w:r w:rsidR="0051503B" w:rsidRPr="00A960A6">
        <w:t>Sezónní vlivy se v letních měsících projevily ve snižující se cenové inflaci</w:t>
      </w:r>
      <w:r>
        <w:t>.</w:t>
      </w:r>
      <w:r w:rsidR="0051503B" w:rsidRPr="00A960A6">
        <w:t xml:space="preserve"> Úhrnná </w:t>
      </w:r>
      <w:r w:rsidR="0051503B" w:rsidRPr="00A960A6">
        <w:rPr>
          <w:b/>
          <w:bCs/>
        </w:rPr>
        <w:t xml:space="preserve">cenová hladina klesla </w:t>
      </w:r>
      <w:r w:rsidR="0051503B" w:rsidRPr="00A960A6">
        <w:rPr>
          <w:bCs/>
        </w:rPr>
        <w:t>v</w:t>
      </w:r>
      <w:r>
        <w:rPr>
          <w:bCs/>
        </w:rPr>
        <w:t> </w:t>
      </w:r>
      <w:r w:rsidR="0051503B" w:rsidRPr="00A960A6">
        <w:rPr>
          <w:bCs/>
        </w:rPr>
        <w:t>červenci</w:t>
      </w:r>
      <w:r>
        <w:rPr>
          <w:bCs/>
        </w:rPr>
        <w:t> – </w:t>
      </w:r>
      <w:r w:rsidR="0051503B" w:rsidRPr="00A960A6">
        <w:rPr>
          <w:bCs/>
        </w:rPr>
        <w:t>září</w:t>
      </w:r>
      <w:r w:rsidR="0051503B" w:rsidRPr="00A960A6">
        <w:rPr>
          <w:b/>
          <w:bCs/>
        </w:rPr>
        <w:t xml:space="preserve"> proti 2.</w:t>
      </w:r>
      <w:r>
        <w:rPr>
          <w:b/>
          <w:bCs/>
        </w:rPr>
        <w:t> </w:t>
      </w:r>
      <w:r w:rsidR="0051503B" w:rsidRPr="00A960A6">
        <w:rPr>
          <w:b/>
          <w:bCs/>
        </w:rPr>
        <w:t>čtvrtletí o 0,2 %</w:t>
      </w:r>
      <w:r>
        <w:rPr>
          <w:b/>
          <w:bCs/>
        </w:rPr>
        <w:t>.</w:t>
      </w:r>
      <w:r w:rsidR="0051503B" w:rsidRPr="00A960A6">
        <w:t xml:space="preserve"> </w:t>
      </w:r>
      <w:r w:rsidR="0051503B" w:rsidRPr="00A960A6">
        <w:rPr>
          <w:b/>
        </w:rPr>
        <w:t xml:space="preserve">V tomto porovnání zlevnily </w:t>
      </w:r>
      <w:r w:rsidR="0051503B" w:rsidRPr="00A960A6">
        <w:t xml:space="preserve">především </w:t>
      </w:r>
      <w:r w:rsidR="0051503B" w:rsidRPr="00A960A6">
        <w:rPr>
          <w:b/>
        </w:rPr>
        <w:t>potraviny, nealkoholické nápoje, odívání a</w:t>
      </w:r>
      <w:r>
        <w:rPr>
          <w:b/>
        </w:rPr>
        <w:t xml:space="preserve"> </w:t>
      </w:r>
      <w:r w:rsidR="0051503B" w:rsidRPr="00A960A6">
        <w:rPr>
          <w:b/>
        </w:rPr>
        <w:t>obuv</w:t>
      </w:r>
      <w:r>
        <w:rPr>
          <w:b/>
        </w:rPr>
        <w:t>.</w:t>
      </w:r>
      <w:r w:rsidR="0051503B" w:rsidRPr="00A960A6">
        <w:t xml:space="preserve"> V opačném směru působily jako obvykle </w:t>
      </w:r>
      <w:r w:rsidR="0051503B" w:rsidRPr="00A960A6">
        <w:rPr>
          <w:b/>
        </w:rPr>
        <w:t xml:space="preserve">dražší rekreace </w:t>
      </w:r>
      <w:r w:rsidR="0051503B" w:rsidRPr="00A960A6">
        <w:t xml:space="preserve">(o 13,2 %), zatímco </w:t>
      </w:r>
      <w:r w:rsidR="0051503B" w:rsidRPr="00A960A6">
        <w:rPr>
          <w:b/>
        </w:rPr>
        <w:t>v dopravě</w:t>
      </w:r>
      <w:r w:rsidR="0051503B" w:rsidRPr="00A960A6">
        <w:t xml:space="preserve"> kompenzovaly začínající </w:t>
      </w:r>
      <w:r w:rsidR="0051503B" w:rsidRPr="00A960A6">
        <w:rPr>
          <w:b/>
        </w:rPr>
        <w:t>zlevňování pohonných hmot</w:t>
      </w:r>
      <w:r w:rsidR="0051503B" w:rsidRPr="00A960A6">
        <w:t xml:space="preserve"> vyšší ceny automobilů.</w:t>
      </w:r>
    </w:p>
    <w:p w:rsidR="0016154C" w:rsidRDefault="0016154C" w:rsidP="0016154C">
      <w:pPr>
        <w:spacing w:line="360" w:lineRule="auto"/>
        <w:jc w:val="both"/>
      </w:pPr>
    </w:p>
    <w:p w:rsidR="0051503B" w:rsidRDefault="0016154C" w:rsidP="0016154C">
      <w:pPr>
        <w:spacing w:line="360" w:lineRule="auto"/>
        <w:jc w:val="both"/>
        <w:rPr>
          <w:b/>
          <w:bCs/>
        </w:rPr>
      </w:pPr>
      <w:r>
        <w:tab/>
      </w:r>
      <w:r w:rsidR="0051503B" w:rsidRPr="00A960A6">
        <w:rPr>
          <w:b/>
          <w:bCs/>
        </w:rPr>
        <w:t xml:space="preserve">V meziročním pohledu </w:t>
      </w:r>
      <w:r w:rsidR="0051503B" w:rsidRPr="00A960A6">
        <w:t xml:space="preserve">byl </w:t>
      </w:r>
      <w:r w:rsidR="0051503B" w:rsidRPr="00A960A6">
        <w:rPr>
          <w:b/>
          <w:bCs/>
        </w:rPr>
        <w:t>ve 3. čtvrtletí</w:t>
      </w:r>
      <w:r w:rsidR="0051503B" w:rsidRPr="00A960A6">
        <w:t xml:space="preserve"> </w:t>
      </w:r>
      <w:r w:rsidR="0051503B" w:rsidRPr="00A960A6">
        <w:rPr>
          <w:b/>
        </w:rPr>
        <w:t>2015</w:t>
      </w:r>
      <w:r w:rsidR="0051503B" w:rsidRPr="00A960A6">
        <w:t xml:space="preserve"> vykázán přírůstek o 0,4 % (tj. o 0,3 p. b. menší než ve 2. čtvrtletí t. r.). Toto zvýšení bylo především výsledkem předchozího </w:t>
      </w:r>
      <w:r w:rsidR="0051503B" w:rsidRPr="00A960A6">
        <w:rPr>
          <w:b/>
        </w:rPr>
        <w:t xml:space="preserve">zmírnění poklesu cen bydlení, odívání, obuvi a ostatního zboží </w:t>
      </w:r>
      <w:r w:rsidR="0051503B" w:rsidRPr="00A960A6">
        <w:t xml:space="preserve">(nikoliv finančních služeb); </w:t>
      </w:r>
      <w:r w:rsidR="0051503B" w:rsidRPr="00A960A6">
        <w:rPr>
          <w:b/>
        </w:rPr>
        <w:t>propad cen</w:t>
      </w:r>
      <w:r w:rsidR="0051503B" w:rsidRPr="00A960A6">
        <w:t xml:space="preserve"> naopak ještě </w:t>
      </w:r>
      <w:r w:rsidR="0051503B" w:rsidRPr="00A960A6">
        <w:rPr>
          <w:b/>
        </w:rPr>
        <w:t>zintenzivnil u výživy a dopravy</w:t>
      </w:r>
      <w:r>
        <w:rPr>
          <w:b/>
        </w:rPr>
        <w:t>.</w:t>
      </w:r>
      <w:r w:rsidR="0051503B" w:rsidRPr="00A960A6">
        <w:t xml:space="preserve"> </w:t>
      </w:r>
      <w:r w:rsidR="0051503B" w:rsidRPr="00A960A6">
        <w:rPr>
          <w:b/>
          <w:bCs/>
        </w:rPr>
        <w:t xml:space="preserve">V úhrnu </w:t>
      </w:r>
      <w:r w:rsidR="0051503B" w:rsidRPr="00A960A6">
        <w:rPr>
          <w:bCs/>
        </w:rPr>
        <w:t>za</w:t>
      </w:r>
      <w:r w:rsidR="0051503B" w:rsidRPr="00A960A6">
        <w:rPr>
          <w:b/>
          <w:bCs/>
        </w:rPr>
        <w:t xml:space="preserve"> 1. – 3. čtvrtletí 2015 byly</w:t>
      </w:r>
      <w:r w:rsidR="0051503B" w:rsidRPr="00A960A6">
        <w:t xml:space="preserve"> spotřebitelské </w:t>
      </w:r>
      <w:r w:rsidR="0051503B" w:rsidRPr="00A960A6">
        <w:rPr>
          <w:b/>
          <w:bCs/>
        </w:rPr>
        <w:t>ceny v průměru o 0,4</w:t>
      </w:r>
      <w:r w:rsidR="0051503B" w:rsidRPr="00A960A6">
        <w:t> </w:t>
      </w:r>
      <w:r w:rsidR="0051503B" w:rsidRPr="00A960A6">
        <w:rPr>
          <w:b/>
          <w:bCs/>
        </w:rPr>
        <w:t>% vyšší</w:t>
      </w:r>
      <w:r w:rsidR="0051503B" w:rsidRPr="00A960A6">
        <w:t xml:space="preserve"> než ve stejném období roku 2014; </w:t>
      </w:r>
      <w:r w:rsidR="0051503B" w:rsidRPr="00A960A6">
        <w:rPr>
          <w:b/>
          <w:bCs/>
        </w:rPr>
        <w:t>životní náklady</w:t>
      </w:r>
      <w:r w:rsidR="0051503B" w:rsidRPr="00A960A6">
        <w:t xml:space="preserve"> domácností </w:t>
      </w:r>
      <w:r w:rsidR="0051503B" w:rsidRPr="00A960A6">
        <w:rPr>
          <w:b/>
          <w:bCs/>
        </w:rPr>
        <w:t>důchodců se zvýšily o 0,1 %</w:t>
      </w:r>
      <w:r>
        <w:rPr>
          <w:b/>
          <w:bCs/>
        </w:rPr>
        <w:t>.</w:t>
      </w:r>
    </w:p>
    <w:p w:rsidR="0016154C" w:rsidRPr="00A960A6" w:rsidRDefault="0016154C" w:rsidP="0016154C">
      <w:pPr>
        <w:spacing w:line="360" w:lineRule="auto"/>
        <w:jc w:val="both"/>
        <w:rPr>
          <w:bCs/>
        </w:rPr>
      </w:pPr>
    </w:p>
    <w:p w:rsidR="0051503B" w:rsidRPr="00A960A6" w:rsidRDefault="0051503B" w:rsidP="0016154C">
      <w:pPr>
        <w:ind w:left="708"/>
        <w:jc w:val="both"/>
        <w:rPr>
          <w:b/>
          <w:u w:val="single"/>
        </w:rPr>
      </w:pPr>
      <w:r w:rsidRPr="00A960A6">
        <w:rPr>
          <w:b/>
          <w:u w:val="single"/>
        </w:rPr>
        <w:t>Další vývoj cenové inflace se bude zřejmě udržovat na současné, popř.</w:t>
      </w:r>
      <w:r w:rsidR="0016154C">
        <w:rPr>
          <w:b/>
          <w:u w:val="single"/>
        </w:rPr>
        <w:t> </w:t>
      </w:r>
      <w:r w:rsidRPr="00A960A6">
        <w:rPr>
          <w:b/>
          <w:u w:val="single"/>
        </w:rPr>
        <w:t>na o něco nižší úrovni a za celý rok 2015 dosáhne průměrné hodnoty cca 0,3</w:t>
      </w:r>
      <w:r w:rsidR="0016154C">
        <w:rPr>
          <w:b/>
          <w:u w:val="single"/>
        </w:rPr>
        <w:t> – </w:t>
      </w:r>
      <w:r w:rsidRPr="00A960A6">
        <w:rPr>
          <w:b/>
          <w:u w:val="single"/>
        </w:rPr>
        <w:t>0,5</w:t>
      </w:r>
      <w:r w:rsidR="0016154C">
        <w:rPr>
          <w:b/>
          <w:u w:val="single"/>
        </w:rPr>
        <w:t> </w:t>
      </w:r>
      <w:r w:rsidRPr="00A960A6">
        <w:rPr>
          <w:b/>
          <w:u w:val="single"/>
        </w:rPr>
        <w:t>%. Ve směru zvýšení inflace pravděpodobně zapůsobí možné obousměrné pohyby tržních cen, zejména změny cen výživy a pohonných hmot. S ohledem na další zvýšení spotřebních daní (u tabáku apod.), očekávaný vývoj cen energií a dalších komponentů bydlení, včetně možného vývoje tržních cen, odhadujeme nyní roční zvýšení spotřebitelské inflace v roce 2016 v  intervalu 1,1 – 2,1 %.</w:t>
      </w:r>
    </w:p>
    <w:p w:rsidR="0016154C" w:rsidRDefault="0016154C" w:rsidP="0016154C">
      <w:pPr>
        <w:spacing w:line="360" w:lineRule="auto"/>
        <w:jc w:val="both"/>
      </w:pPr>
    </w:p>
    <w:p w:rsidR="001F5BEA" w:rsidRDefault="001F5BEA" w:rsidP="0016154C">
      <w:pPr>
        <w:spacing w:line="360" w:lineRule="auto"/>
        <w:jc w:val="both"/>
      </w:pPr>
    </w:p>
    <w:p w:rsidR="0051503B" w:rsidRDefault="0016154C" w:rsidP="0016154C">
      <w:pPr>
        <w:spacing w:line="360" w:lineRule="auto"/>
        <w:jc w:val="both"/>
        <w:rPr>
          <w:b/>
        </w:rPr>
      </w:pPr>
      <w:r>
        <w:lastRenderedPageBreak/>
        <w:tab/>
      </w:r>
      <w:r w:rsidR="0051503B" w:rsidRPr="00A960A6">
        <w:t xml:space="preserve">Dříve popsané hlavní </w:t>
      </w:r>
      <w:r w:rsidR="0051503B" w:rsidRPr="00A960A6">
        <w:rPr>
          <w:b/>
          <w:bCs/>
        </w:rPr>
        <w:t xml:space="preserve">tendence ve vývoji </w:t>
      </w:r>
      <w:r w:rsidR="0051503B" w:rsidRPr="00A960A6">
        <w:t xml:space="preserve">peněžních </w:t>
      </w:r>
      <w:r w:rsidR="0051503B" w:rsidRPr="00A960A6">
        <w:rPr>
          <w:b/>
          <w:bCs/>
        </w:rPr>
        <w:t>půjček a úspor</w:t>
      </w:r>
      <w:r w:rsidR="0051503B" w:rsidRPr="00A960A6">
        <w:t xml:space="preserve"> domácností </w:t>
      </w:r>
      <w:r w:rsidR="0051503B" w:rsidRPr="00A960A6">
        <w:rPr>
          <w:b/>
          <w:bCs/>
        </w:rPr>
        <w:t>se</w:t>
      </w:r>
      <w:r w:rsidR="0051503B" w:rsidRPr="00A960A6">
        <w:t xml:space="preserve"> v červenci a srpnu 2015 </w:t>
      </w:r>
      <w:r w:rsidR="0051503B" w:rsidRPr="00A960A6">
        <w:rPr>
          <w:b/>
          <w:bCs/>
        </w:rPr>
        <w:t xml:space="preserve">nezměnily. </w:t>
      </w:r>
      <w:r w:rsidR="0051503B" w:rsidRPr="00A960A6">
        <w:rPr>
          <w:bCs/>
        </w:rPr>
        <w:t>S</w:t>
      </w:r>
      <w:r w:rsidR="0051503B" w:rsidRPr="00A960A6">
        <w:t>tav bankovních</w:t>
      </w:r>
      <w:r w:rsidR="0051503B" w:rsidRPr="00A960A6">
        <w:rPr>
          <w:b/>
          <w:bCs/>
        </w:rPr>
        <w:t xml:space="preserve"> úvěrů domácností</w:t>
      </w:r>
      <w:r w:rsidR="0051503B" w:rsidRPr="00A960A6">
        <w:t xml:space="preserve"> </w:t>
      </w:r>
      <w:r w:rsidR="0051503B" w:rsidRPr="00A960A6">
        <w:rPr>
          <w:b/>
          <w:bCs/>
        </w:rPr>
        <w:t>byl v srpnu vyšší</w:t>
      </w:r>
      <w:r w:rsidR="0051503B" w:rsidRPr="00A960A6">
        <w:t xml:space="preserve"> proti červnu </w:t>
      </w:r>
      <w:r w:rsidR="0051503B" w:rsidRPr="00A960A6">
        <w:rPr>
          <w:b/>
          <w:bCs/>
        </w:rPr>
        <w:t xml:space="preserve">o 14,4 mld. Kč </w:t>
      </w:r>
      <w:r w:rsidR="0051503B" w:rsidRPr="00A960A6">
        <w:t>(což byl</w:t>
      </w:r>
      <w:r w:rsidR="0051503B" w:rsidRPr="00A960A6">
        <w:rPr>
          <w:b/>
          <w:bCs/>
        </w:rPr>
        <w:t xml:space="preserve"> o 4,2 mld. Kč větší přírůstek </w:t>
      </w:r>
      <w:r w:rsidR="0051503B" w:rsidRPr="00A960A6">
        <w:t>než ve stejném období roku 2014) a většinu uvedeného přírůstku představovaly úvěry na bydlení (+ 13,6 mld.</w:t>
      </w:r>
      <w:r>
        <w:t> </w:t>
      </w:r>
      <w:r w:rsidR="0051503B" w:rsidRPr="00A960A6">
        <w:t>Kč)</w:t>
      </w:r>
      <w:r w:rsidR="0051503B" w:rsidRPr="00A960A6">
        <w:rPr>
          <w:lang w:val="en-US"/>
        </w:rPr>
        <w:t>;</w:t>
      </w:r>
      <w:r w:rsidR="0051503B" w:rsidRPr="00A960A6">
        <w:t xml:space="preserve"> </w:t>
      </w:r>
      <w:r w:rsidR="0051503B" w:rsidRPr="00A960A6">
        <w:rPr>
          <w:b/>
        </w:rPr>
        <w:t>celkový stav úvěrů domácností</w:t>
      </w:r>
      <w:r w:rsidR="0051503B" w:rsidRPr="00A960A6">
        <w:t xml:space="preserve"> u bank činil </w:t>
      </w:r>
      <w:r w:rsidR="0051503B" w:rsidRPr="00A960A6">
        <w:rPr>
          <w:b/>
        </w:rPr>
        <w:t>ke konci srpna</w:t>
      </w:r>
      <w:r w:rsidR="0051503B" w:rsidRPr="00A960A6">
        <w:t xml:space="preserve"> </w:t>
      </w:r>
      <w:r w:rsidR="0051503B" w:rsidRPr="00A960A6">
        <w:rPr>
          <w:b/>
        </w:rPr>
        <w:t>1 293,0 mld. Kč.</w:t>
      </w:r>
    </w:p>
    <w:p w:rsidR="0016154C" w:rsidRDefault="0016154C" w:rsidP="0016154C">
      <w:pPr>
        <w:spacing w:line="360" w:lineRule="auto"/>
        <w:jc w:val="both"/>
        <w:rPr>
          <w:b/>
        </w:rPr>
      </w:pPr>
    </w:p>
    <w:p w:rsidR="0051503B" w:rsidRDefault="0016154C" w:rsidP="0016154C">
      <w:pPr>
        <w:spacing w:line="360" w:lineRule="auto"/>
        <w:jc w:val="both"/>
        <w:rPr>
          <w:b/>
          <w:bCs/>
        </w:rPr>
      </w:pPr>
      <w:r>
        <w:rPr>
          <w:b/>
        </w:rPr>
        <w:tab/>
      </w:r>
      <w:r w:rsidR="0051503B" w:rsidRPr="00A960A6">
        <w:rPr>
          <w:b/>
          <w:bCs/>
        </w:rPr>
        <w:t>Přírůstek</w:t>
      </w:r>
      <w:r w:rsidR="0051503B" w:rsidRPr="00A960A6">
        <w:t xml:space="preserve"> korunových </w:t>
      </w:r>
      <w:r w:rsidR="0051503B" w:rsidRPr="00A960A6">
        <w:rPr>
          <w:b/>
          <w:bCs/>
        </w:rPr>
        <w:t>úspor</w:t>
      </w:r>
      <w:r w:rsidR="0051503B" w:rsidRPr="00A960A6">
        <w:t xml:space="preserve"> domácností za první dva měsíce 3. čtvrtletí 2015 </w:t>
      </w:r>
      <w:r w:rsidR="0051503B" w:rsidRPr="00A960A6">
        <w:rPr>
          <w:b/>
        </w:rPr>
        <w:t>(+11,0 mld. Kč)</w:t>
      </w:r>
      <w:r w:rsidR="0051503B" w:rsidRPr="00A960A6">
        <w:t xml:space="preserve"> byl </w:t>
      </w:r>
      <w:r w:rsidR="0051503B" w:rsidRPr="00A960A6">
        <w:rPr>
          <w:b/>
        </w:rPr>
        <w:t xml:space="preserve">vyšší než před rokem </w:t>
      </w:r>
      <w:r w:rsidR="0051503B" w:rsidRPr="00A960A6">
        <w:t xml:space="preserve">(+9,5 mld. Kč), a byl dosažen znovu výhradně </w:t>
      </w:r>
      <w:r w:rsidR="0051503B" w:rsidRPr="00A960A6">
        <w:rPr>
          <w:b/>
          <w:bCs/>
        </w:rPr>
        <w:t>vlivem</w:t>
      </w:r>
      <w:r w:rsidR="0051503B" w:rsidRPr="00A960A6">
        <w:t xml:space="preserve"> </w:t>
      </w:r>
      <w:r w:rsidR="0051503B" w:rsidRPr="00A960A6">
        <w:rPr>
          <w:b/>
          <w:bCs/>
        </w:rPr>
        <w:t xml:space="preserve">vzestupu netermínovaných vkladů. </w:t>
      </w:r>
      <w:r w:rsidR="0051503B" w:rsidRPr="00A960A6">
        <w:rPr>
          <w:bCs/>
        </w:rPr>
        <w:t xml:space="preserve">Naopak </w:t>
      </w:r>
      <w:r w:rsidR="0051503B" w:rsidRPr="00A960A6">
        <w:rPr>
          <w:b/>
          <w:bCs/>
        </w:rPr>
        <w:t>termínované vklady pokračovaly v</w:t>
      </w:r>
      <w:r w:rsidR="0051503B" w:rsidRPr="00A960A6">
        <w:rPr>
          <w:bCs/>
        </w:rPr>
        <w:t xml:space="preserve"> hlubokém </w:t>
      </w:r>
      <w:r w:rsidR="0051503B" w:rsidRPr="00A960A6">
        <w:rPr>
          <w:b/>
          <w:bCs/>
        </w:rPr>
        <w:t>propadu</w:t>
      </w:r>
      <w:r w:rsidR="0051503B" w:rsidRPr="00A960A6">
        <w:rPr>
          <w:bCs/>
        </w:rPr>
        <w:t xml:space="preserve"> (na konci srpna byly nižší oproti červnu o 11,2 mld. Kč).</w:t>
      </w:r>
    </w:p>
    <w:p w:rsidR="0016154C" w:rsidRDefault="0016154C" w:rsidP="0016154C">
      <w:pPr>
        <w:spacing w:line="360" w:lineRule="auto"/>
        <w:jc w:val="both"/>
        <w:rPr>
          <w:b/>
          <w:bCs/>
        </w:rPr>
      </w:pPr>
    </w:p>
    <w:p w:rsidR="0051503B" w:rsidRPr="00A960A6" w:rsidRDefault="0051503B" w:rsidP="0016154C">
      <w:pPr>
        <w:ind w:left="708"/>
        <w:jc w:val="both"/>
        <w:rPr>
          <w:b/>
          <w:u w:val="single"/>
        </w:rPr>
      </w:pPr>
      <w:r w:rsidRPr="00A960A6">
        <w:rPr>
          <w:b/>
          <w:u w:val="single"/>
        </w:rPr>
        <w:t>V posledním čtvrtletí roku 2015, ani na začátku příštího roku, nelze stále očekávat zásadní obrat tendencí ve stavu úvěrů a úspor domácností. Nárůst bude nadále sledovatelný zejména u úvěrů na bydlení a s rostoucími reálnými příjmy lze očekávat, že běžnou (krátkodobou) spotřebu budou domácnosti více financovat ze svých úspor na netermínovaných účtech. Tomu odpovídá i mírné zpomalení nárůstu vkladů mezi roky 2014 a 2015, kdy zlepšující se situace na trhu práce (zaměstnanost a mzdy) vedla domácnosti k vyšší spotřebě na úkor úspor. Preference netermínovaných vkladů bude při nízkých úrokových sazbách a slabé inflaci nadále pokračovat a bude tak stále hlavní složkou přírůstku celkového objemu vkladů domácností.</w:t>
      </w:r>
    </w:p>
    <w:p w:rsidR="0051503B" w:rsidRPr="00A960A6" w:rsidRDefault="0051503B" w:rsidP="001C1A91">
      <w:pPr>
        <w:spacing w:line="360" w:lineRule="auto"/>
      </w:pPr>
    </w:p>
    <w:p w:rsidR="0051503B" w:rsidRDefault="0051503B" w:rsidP="001C1A91">
      <w:pPr>
        <w:spacing w:line="360" w:lineRule="auto"/>
        <w:jc w:val="both"/>
        <w:rPr>
          <w:b/>
          <w:bCs/>
        </w:rPr>
      </w:pPr>
    </w:p>
    <w:p w:rsidR="001C1A91" w:rsidRDefault="001C1A91" w:rsidP="001C1A91">
      <w:pPr>
        <w:spacing w:line="360" w:lineRule="auto"/>
        <w:jc w:val="both"/>
        <w:rPr>
          <w:b/>
          <w:bCs/>
        </w:rPr>
      </w:pPr>
    </w:p>
    <w:p w:rsidR="0016154C" w:rsidRPr="00B34C1A" w:rsidRDefault="0016154C" w:rsidP="0016154C">
      <w:pPr>
        <w:spacing w:line="360" w:lineRule="auto"/>
        <w:jc w:val="center"/>
        <w:rPr>
          <w:i/>
          <w:iCs/>
        </w:rPr>
      </w:pPr>
      <w:r w:rsidRPr="00B34C1A">
        <w:rPr>
          <w:bCs/>
        </w:rPr>
        <w:t>*</w:t>
      </w:r>
      <w:r w:rsidRPr="00B34C1A">
        <w:rPr>
          <w:i/>
          <w:iCs/>
        </w:rPr>
        <w:t xml:space="preserve">                         *                         *</w:t>
      </w:r>
    </w:p>
    <w:p w:rsidR="0016154C" w:rsidRPr="00A960A6" w:rsidRDefault="0016154C" w:rsidP="001C1A91">
      <w:pPr>
        <w:spacing w:line="360" w:lineRule="auto"/>
        <w:jc w:val="both"/>
        <w:rPr>
          <w:b/>
          <w:bCs/>
        </w:rPr>
      </w:pPr>
    </w:p>
    <w:p w:rsidR="001C1A91" w:rsidRPr="00A960A6" w:rsidRDefault="001C1A91" w:rsidP="001C1A91">
      <w:pPr>
        <w:spacing w:line="360" w:lineRule="auto"/>
        <w:jc w:val="both"/>
      </w:pPr>
    </w:p>
    <w:p w:rsidR="0051503B" w:rsidRPr="00A960A6" w:rsidRDefault="0051503B" w:rsidP="0051503B">
      <w:pPr>
        <w:pStyle w:val="Zkladntext"/>
      </w:pPr>
      <w:r w:rsidRPr="00A960A6">
        <w:tab/>
      </w:r>
      <w:r w:rsidRPr="00A960A6">
        <w:rPr>
          <w:i/>
        </w:rPr>
        <w:t>Aktuálnější</w:t>
      </w:r>
      <w:r w:rsidRPr="00A960A6">
        <w:rPr>
          <w:i/>
          <w:iCs/>
        </w:rPr>
        <w:t xml:space="preserve"> a komplexní údaje týkající se příjmové a výdajové situace českých domácností ve 3. čtvrtletí roku 2015 nebyly v době zpracování materiálu k dispozici. Přinese je „Zpráva o základních tendencích příjmové a výdajové situace domácností ČR v 1 </w:t>
      </w:r>
      <w:r w:rsidR="0016154C">
        <w:rPr>
          <w:i/>
          <w:iCs/>
        </w:rPr>
        <w:t>–</w:t>
      </w:r>
      <w:r w:rsidRPr="00A960A6">
        <w:rPr>
          <w:i/>
          <w:iCs/>
        </w:rPr>
        <w:t xml:space="preserve"> 3. čtvrtletí 2015“, která bude vládě předložena v lednu 2016. </w:t>
      </w:r>
    </w:p>
    <w:p w:rsidR="0051503B" w:rsidRPr="00924AE7" w:rsidRDefault="0051503B" w:rsidP="00027CCF">
      <w:pPr>
        <w:spacing w:line="360" w:lineRule="auto"/>
        <w:jc w:val="both"/>
        <w:rPr>
          <w:b/>
        </w:rPr>
      </w:pPr>
    </w:p>
    <w:sectPr w:rsidR="0051503B" w:rsidRPr="00924AE7" w:rsidSect="00A96EE8">
      <w:footerReference w:type="default" r:id="rId2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C3" w:rsidRDefault="00616BC3">
      <w:r>
        <w:separator/>
      </w:r>
    </w:p>
  </w:endnote>
  <w:endnote w:type="continuationSeparator" w:id="0">
    <w:p w:rsidR="00616BC3" w:rsidRDefault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B7" w:rsidRPr="00A96EE8" w:rsidRDefault="00DB24B7">
    <w:pPr>
      <w:pStyle w:val="Zpat"/>
      <w:jc w:val="center"/>
    </w:pPr>
  </w:p>
  <w:p w:rsidR="00DB24B7" w:rsidRDefault="00DB24B7" w:rsidP="009D61EF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B7" w:rsidRPr="00A96EE8" w:rsidRDefault="006E3EDC">
    <w:pPr>
      <w:pStyle w:val="Zpat"/>
      <w:jc w:val="center"/>
    </w:pPr>
    <w:r w:rsidRPr="00A96EE8">
      <w:fldChar w:fldCharType="begin"/>
    </w:r>
    <w:r w:rsidR="00DB24B7" w:rsidRPr="00A96EE8">
      <w:instrText>PAGE   \* MERGEFORMAT</w:instrText>
    </w:r>
    <w:r w:rsidRPr="00A96EE8">
      <w:fldChar w:fldCharType="separate"/>
    </w:r>
    <w:r w:rsidR="00C1411E">
      <w:rPr>
        <w:noProof/>
      </w:rPr>
      <w:t>37</w:t>
    </w:r>
    <w:r w:rsidRPr="00A96EE8">
      <w:fldChar w:fldCharType="end"/>
    </w:r>
  </w:p>
  <w:p w:rsidR="00DB24B7" w:rsidRDefault="00DB24B7" w:rsidP="009D61EF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C3" w:rsidRDefault="00616BC3">
      <w:r>
        <w:separator/>
      </w:r>
    </w:p>
  </w:footnote>
  <w:footnote w:type="continuationSeparator" w:id="0">
    <w:p w:rsidR="00616BC3" w:rsidRDefault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DDF5332"/>
    <w:multiLevelType w:val="hybridMultilevel"/>
    <w:tmpl w:val="C2A83A96"/>
    <w:lvl w:ilvl="0" w:tplc="8DD49488">
      <w:start w:val="1"/>
      <w:numFmt w:val="bullet"/>
      <w:lvlText w:val=""/>
      <w:lvlJc w:val="left"/>
      <w:pPr>
        <w:tabs>
          <w:tab w:val="num" w:pos="-1904"/>
        </w:tabs>
        <w:ind w:left="-19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-1184"/>
        </w:tabs>
        <w:ind w:left="-1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64"/>
        </w:tabs>
        <w:ind w:left="-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"/>
        </w:tabs>
        <w:ind w:left="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</w:abstractNum>
  <w:abstractNum w:abstractNumId="2">
    <w:nsid w:val="117E3104"/>
    <w:multiLevelType w:val="hybridMultilevel"/>
    <w:tmpl w:val="65B65A1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E20"/>
    <w:multiLevelType w:val="hybridMultilevel"/>
    <w:tmpl w:val="39E21AD8"/>
    <w:lvl w:ilvl="0" w:tplc="FF7A7FDA">
      <w:start w:val="2"/>
      <w:numFmt w:val="upperLetter"/>
      <w:lvlText w:val="%1."/>
      <w:lvlJc w:val="left"/>
      <w:pPr>
        <w:tabs>
          <w:tab w:val="num" w:pos="6121"/>
        </w:tabs>
        <w:ind w:left="6121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</w:lvl>
  </w:abstractNum>
  <w:abstractNum w:abstractNumId="4">
    <w:nsid w:val="1B106488"/>
    <w:multiLevelType w:val="hybridMultilevel"/>
    <w:tmpl w:val="FBAEDE52"/>
    <w:lvl w:ilvl="0" w:tplc="43406100">
      <w:start w:val="1"/>
      <w:numFmt w:val="bullet"/>
      <w:lvlText w:val=""/>
      <w:lvlJc w:val="left"/>
      <w:pPr>
        <w:tabs>
          <w:tab w:val="num" w:pos="130"/>
        </w:tabs>
        <w:ind w:left="1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680"/>
        </w:tabs>
        <w:ind w:left="-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"/>
        </w:tabs>
        <w:ind w:left="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</w:abstractNum>
  <w:abstractNum w:abstractNumId="5">
    <w:nsid w:val="1CD549DB"/>
    <w:multiLevelType w:val="hybridMultilevel"/>
    <w:tmpl w:val="2F7C230E"/>
    <w:lvl w:ilvl="0" w:tplc="434061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FAC48C6"/>
    <w:multiLevelType w:val="hybridMultilevel"/>
    <w:tmpl w:val="188E47CE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76EF2"/>
    <w:multiLevelType w:val="hybridMultilevel"/>
    <w:tmpl w:val="2FF06E9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14D35"/>
    <w:multiLevelType w:val="hybridMultilevel"/>
    <w:tmpl w:val="45A88F2A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881E22"/>
    <w:multiLevelType w:val="hybridMultilevel"/>
    <w:tmpl w:val="DB328FF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B1D74"/>
    <w:multiLevelType w:val="multilevel"/>
    <w:tmpl w:val="056ECA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1">
    <w:nsid w:val="2CF27DA1"/>
    <w:multiLevelType w:val="hybridMultilevel"/>
    <w:tmpl w:val="4D4021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D14FE"/>
    <w:multiLevelType w:val="multilevel"/>
    <w:tmpl w:val="ABC08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E2540CB"/>
    <w:multiLevelType w:val="hybridMultilevel"/>
    <w:tmpl w:val="E71CCE20"/>
    <w:lvl w:ilvl="0" w:tplc="0986A4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5524C8"/>
    <w:multiLevelType w:val="hybridMultilevel"/>
    <w:tmpl w:val="889095C2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64DC9"/>
    <w:multiLevelType w:val="hybridMultilevel"/>
    <w:tmpl w:val="41141130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9A66380">
      <w:numFmt w:val="bullet"/>
      <w:lvlText w:val="-"/>
      <w:lvlJc w:val="left"/>
      <w:pPr>
        <w:ind w:left="1950" w:hanging="870"/>
      </w:pPr>
      <w:rPr>
        <w:rFonts w:ascii="Arial" w:eastAsia="Times New Roman" w:hAnsi="Arial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930F1"/>
    <w:multiLevelType w:val="hybridMultilevel"/>
    <w:tmpl w:val="763652BC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756E8"/>
    <w:multiLevelType w:val="hybridMultilevel"/>
    <w:tmpl w:val="8B1E8892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3691F"/>
    <w:multiLevelType w:val="hybridMultilevel"/>
    <w:tmpl w:val="3DE4E56A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8CB0ADE"/>
    <w:multiLevelType w:val="hybridMultilevel"/>
    <w:tmpl w:val="3508017E"/>
    <w:lvl w:ilvl="0" w:tplc="B2FAC4F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6F1B39B4"/>
    <w:multiLevelType w:val="hybridMultilevel"/>
    <w:tmpl w:val="CC824BDC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1A341A7"/>
    <w:multiLevelType w:val="hybridMultilevel"/>
    <w:tmpl w:val="B43879B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95159"/>
    <w:multiLevelType w:val="hybridMultilevel"/>
    <w:tmpl w:val="0D18AEB4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8DD49488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23">
    <w:nsid w:val="76027353"/>
    <w:multiLevelType w:val="hybridMultilevel"/>
    <w:tmpl w:val="1646D3C2"/>
    <w:lvl w:ilvl="0" w:tplc="434061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641651F"/>
    <w:multiLevelType w:val="hybridMultilevel"/>
    <w:tmpl w:val="4756FE0E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D4BBB"/>
    <w:multiLevelType w:val="hybridMultilevel"/>
    <w:tmpl w:val="33300D24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16"/>
  </w:num>
  <w:num w:numId="11">
    <w:abstractNumId w:val="18"/>
  </w:num>
  <w:num w:numId="12">
    <w:abstractNumId w:val="6"/>
  </w:num>
  <w:num w:numId="13">
    <w:abstractNumId w:val="20"/>
  </w:num>
  <w:num w:numId="14">
    <w:abstractNumId w:val="25"/>
  </w:num>
  <w:num w:numId="15">
    <w:abstractNumId w:val="2"/>
  </w:num>
  <w:num w:numId="16">
    <w:abstractNumId w:val="22"/>
  </w:num>
  <w:num w:numId="17">
    <w:abstractNumId w:val="5"/>
  </w:num>
  <w:num w:numId="18">
    <w:abstractNumId w:val="4"/>
  </w:num>
  <w:num w:numId="19">
    <w:abstractNumId w:val="10"/>
  </w:num>
  <w:num w:numId="20">
    <w:abstractNumId w:val="1"/>
  </w:num>
  <w:num w:numId="21">
    <w:abstractNumId w:val="19"/>
  </w:num>
  <w:num w:numId="22">
    <w:abstractNumId w:val="17"/>
  </w:num>
  <w:num w:numId="23">
    <w:abstractNumId w:val="21"/>
  </w:num>
  <w:num w:numId="24">
    <w:abstractNumId w:val="7"/>
  </w:num>
  <w:num w:numId="25">
    <w:abstractNumId w:val="13"/>
  </w:num>
  <w:num w:numId="26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20A43"/>
    <w:rsid w:val="000000EB"/>
    <w:rsid w:val="00006EB7"/>
    <w:rsid w:val="00007AD4"/>
    <w:rsid w:val="00010CDA"/>
    <w:rsid w:val="00010F96"/>
    <w:rsid w:val="0001234D"/>
    <w:rsid w:val="00014B1B"/>
    <w:rsid w:val="0001665E"/>
    <w:rsid w:val="00023B53"/>
    <w:rsid w:val="00024DB4"/>
    <w:rsid w:val="00026922"/>
    <w:rsid w:val="00027377"/>
    <w:rsid w:val="00027CCF"/>
    <w:rsid w:val="00031B4E"/>
    <w:rsid w:val="000328D2"/>
    <w:rsid w:val="00034073"/>
    <w:rsid w:val="00034F71"/>
    <w:rsid w:val="00035DAA"/>
    <w:rsid w:val="000369D6"/>
    <w:rsid w:val="000440BF"/>
    <w:rsid w:val="000443AA"/>
    <w:rsid w:val="0004595A"/>
    <w:rsid w:val="000500B2"/>
    <w:rsid w:val="000502BC"/>
    <w:rsid w:val="00053578"/>
    <w:rsid w:val="000565A9"/>
    <w:rsid w:val="00057478"/>
    <w:rsid w:val="00057C5A"/>
    <w:rsid w:val="00060C4C"/>
    <w:rsid w:val="000661B2"/>
    <w:rsid w:val="0006719E"/>
    <w:rsid w:val="0006737A"/>
    <w:rsid w:val="0006792F"/>
    <w:rsid w:val="00067C1D"/>
    <w:rsid w:val="000726C6"/>
    <w:rsid w:val="00074F34"/>
    <w:rsid w:val="000762FD"/>
    <w:rsid w:val="00081987"/>
    <w:rsid w:val="000826CF"/>
    <w:rsid w:val="000854E7"/>
    <w:rsid w:val="0008744E"/>
    <w:rsid w:val="000921F1"/>
    <w:rsid w:val="00092543"/>
    <w:rsid w:val="0009468A"/>
    <w:rsid w:val="00094C4B"/>
    <w:rsid w:val="000955E9"/>
    <w:rsid w:val="00096186"/>
    <w:rsid w:val="00096434"/>
    <w:rsid w:val="000967B3"/>
    <w:rsid w:val="00096A7F"/>
    <w:rsid w:val="000A0BE9"/>
    <w:rsid w:val="000A1BD3"/>
    <w:rsid w:val="000A2D06"/>
    <w:rsid w:val="000A49DF"/>
    <w:rsid w:val="000A51B8"/>
    <w:rsid w:val="000A78CB"/>
    <w:rsid w:val="000B040F"/>
    <w:rsid w:val="000B146B"/>
    <w:rsid w:val="000B2C7E"/>
    <w:rsid w:val="000B3FEE"/>
    <w:rsid w:val="000B4596"/>
    <w:rsid w:val="000B544B"/>
    <w:rsid w:val="000B63CD"/>
    <w:rsid w:val="000C2543"/>
    <w:rsid w:val="000C47CB"/>
    <w:rsid w:val="000C7AE9"/>
    <w:rsid w:val="000D1F1D"/>
    <w:rsid w:val="000D22CA"/>
    <w:rsid w:val="000D2643"/>
    <w:rsid w:val="000D69BA"/>
    <w:rsid w:val="000D795E"/>
    <w:rsid w:val="000E511A"/>
    <w:rsid w:val="000E5736"/>
    <w:rsid w:val="000E5CDF"/>
    <w:rsid w:val="000F2E55"/>
    <w:rsid w:val="000F4D5D"/>
    <w:rsid w:val="000F58DB"/>
    <w:rsid w:val="000F61B6"/>
    <w:rsid w:val="000F74BA"/>
    <w:rsid w:val="0010283B"/>
    <w:rsid w:val="00106D26"/>
    <w:rsid w:val="00110817"/>
    <w:rsid w:val="00110C58"/>
    <w:rsid w:val="00112CFC"/>
    <w:rsid w:val="00115B02"/>
    <w:rsid w:val="00120714"/>
    <w:rsid w:val="00120BA1"/>
    <w:rsid w:val="0012342A"/>
    <w:rsid w:val="0012791D"/>
    <w:rsid w:val="00132B48"/>
    <w:rsid w:val="00133E09"/>
    <w:rsid w:val="00135798"/>
    <w:rsid w:val="00135DFA"/>
    <w:rsid w:val="00137FE0"/>
    <w:rsid w:val="00140D80"/>
    <w:rsid w:val="001428A0"/>
    <w:rsid w:val="00143504"/>
    <w:rsid w:val="00145D4A"/>
    <w:rsid w:val="00145F26"/>
    <w:rsid w:val="001477AF"/>
    <w:rsid w:val="00147B50"/>
    <w:rsid w:val="00147D8B"/>
    <w:rsid w:val="00151010"/>
    <w:rsid w:val="001517E9"/>
    <w:rsid w:val="00152475"/>
    <w:rsid w:val="00156FD4"/>
    <w:rsid w:val="0015735E"/>
    <w:rsid w:val="001606C1"/>
    <w:rsid w:val="0016154C"/>
    <w:rsid w:val="00161574"/>
    <w:rsid w:val="00165FA8"/>
    <w:rsid w:val="001676C0"/>
    <w:rsid w:val="00167B6E"/>
    <w:rsid w:val="00167FBB"/>
    <w:rsid w:val="00171413"/>
    <w:rsid w:val="00172938"/>
    <w:rsid w:val="0017383F"/>
    <w:rsid w:val="001757FC"/>
    <w:rsid w:val="00180012"/>
    <w:rsid w:val="00180982"/>
    <w:rsid w:val="00181ABD"/>
    <w:rsid w:val="00182E4A"/>
    <w:rsid w:val="00185755"/>
    <w:rsid w:val="00187C6B"/>
    <w:rsid w:val="0019198E"/>
    <w:rsid w:val="00191E64"/>
    <w:rsid w:val="001920B8"/>
    <w:rsid w:val="0019239A"/>
    <w:rsid w:val="00192687"/>
    <w:rsid w:val="00194236"/>
    <w:rsid w:val="001968B0"/>
    <w:rsid w:val="001A09FA"/>
    <w:rsid w:val="001A2454"/>
    <w:rsid w:val="001A3AA5"/>
    <w:rsid w:val="001A3D6D"/>
    <w:rsid w:val="001A408C"/>
    <w:rsid w:val="001A4B38"/>
    <w:rsid w:val="001A6B10"/>
    <w:rsid w:val="001B0830"/>
    <w:rsid w:val="001B128E"/>
    <w:rsid w:val="001B53E1"/>
    <w:rsid w:val="001B5575"/>
    <w:rsid w:val="001C1A91"/>
    <w:rsid w:val="001C4F8C"/>
    <w:rsid w:val="001D04D2"/>
    <w:rsid w:val="001D0DF4"/>
    <w:rsid w:val="001D2A62"/>
    <w:rsid w:val="001D58C4"/>
    <w:rsid w:val="001D5B7B"/>
    <w:rsid w:val="001D6C57"/>
    <w:rsid w:val="001E1680"/>
    <w:rsid w:val="001E336C"/>
    <w:rsid w:val="001E3F11"/>
    <w:rsid w:val="001E5077"/>
    <w:rsid w:val="001E5C7D"/>
    <w:rsid w:val="001F14A5"/>
    <w:rsid w:val="001F3E7B"/>
    <w:rsid w:val="001F459A"/>
    <w:rsid w:val="001F5BEA"/>
    <w:rsid w:val="001F6F82"/>
    <w:rsid w:val="0020140E"/>
    <w:rsid w:val="00201826"/>
    <w:rsid w:val="00215776"/>
    <w:rsid w:val="00215C3E"/>
    <w:rsid w:val="0021651C"/>
    <w:rsid w:val="0022177B"/>
    <w:rsid w:val="00222F2A"/>
    <w:rsid w:val="0022352C"/>
    <w:rsid w:val="002251CD"/>
    <w:rsid w:val="00225CEB"/>
    <w:rsid w:val="002260E9"/>
    <w:rsid w:val="0023028A"/>
    <w:rsid w:val="00235872"/>
    <w:rsid w:val="00235DC0"/>
    <w:rsid w:val="00241A60"/>
    <w:rsid w:val="002449FA"/>
    <w:rsid w:val="0024630B"/>
    <w:rsid w:val="00252F44"/>
    <w:rsid w:val="00256E24"/>
    <w:rsid w:val="00257513"/>
    <w:rsid w:val="00257E93"/>
    <w:rsid w:val="00262363"/>
    <w:rsid w:val="00262743"/>
    <w:rsid w:val="002632A7"/>
    <w:rsid w:val="002632B5"/>
    <w:rsid w:val="00263534"/>
    <w:rsid w:val="00263617"/>
    <w:rsid w:val="002641B2"/>
    <w:rsid w:val="00266116"/>
    <w:rsid w:val="0026628D"/>
    <w:rsid w:val="00266CD3"/>
    <w:rsid w:val="00272630"/>
    <w:rsid w:val="0027649D"/>
    <w:rsid w:val="002774A7"/>
    <w:rsid w:val="00280FA1"/>
    <w:rsid w:val="002811A6"/>
    <w:rsid w:val="00282C9F"/>
    <w:rsid w:val="00285AF4"/>
    <w:rsid w:val="002870FA"/>
    <w:rsid w:val="00292417"/>
    <w:rsid w:val="00293309"/>
    <w:rsid w:val="00294F69"/>
    <w:rsid w:val="002962F8"/>
    <w:rsid w:val="00297482"/>
    <w:rsid w:val="00297944"/>
    <w:rsid w:val="002A06EE"/>
    <w:rsid w:val="002A18EE"/>
    <w:rsid w:val="002A2DA4"/>
    <w:rsid w:val="002A5D35"/>
    <w:rsid w:val="002B04E3"/>
    <w:rsid w:val="002B0DA2"/>
    <w:rsid w:val="002B2F53"/>
    <w:rsid w:val="002B3C16"/>
    <w:rsid w:val="002B4927"/>
    <w:rsid w:val="002B4FAD"/>
    <w:rsid w:val="002B5737"/>
    <w:rsid w:val="002B5F67"/>
    <w:rsid w:val="002B6B13"/>
    <w:rsid w:val="002C1344"/>
    <w:rsid w:val="002C5635"/>
    <w:rsid w:val="002D3148"/>
    <w:rsid w:val="002D488C"/>
    <w:rsid w:val="002D6851"/>
    <w:rsid w:val="002D784C"/>
    <w:rsid w:val="002E6107"/>
    <w:rsid w:val="002F0A3D"/>
    <w:rsid w:val="002F2A13"/>
    <w:rsid w:val="002F2A17"/>
    <w:rsid w:val="002F484C"/>
    <w:rsid w:val="002F48B8"/>
    <w:rsid w:val="002F7979"/>
    <w:rsid w:val="00301681"/>
    <w:rsid w:val="00302A17"/>
    <w:rsid w:val="00304AB9"/>
    <w:rsid w:val="00307756"/>
    <w:rsid w:val="0031187B"/>
    <w:rsid w:val="00312C2A"/>
    <w:rsid w:val="003216BA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5422"/>
    <w:rsid w:val="00335876"/>
    <w:rsid w:val="00335FCC"/>
    <w:rsid w:val="003402F3"/>
    <w:rsid w:val="00341F6A"/>
    <w:rsid w:val="003448C2"/>
    <w:rsid w:val="00346852"/>
    <w:rsid w:val="00347013"/>
    <w:rsid w:val="00352002"/>
    <w:rsid w:val="00353ED1"/>
    <w:rsid w:val="0036224E"/>
    <w:rsid w:val="003632E9"/>
    <w:rsid w:val="003639C8"/>
    <w:rsid w:val="0036666D"/>
    <w:rsid w:val="00366B48"/>
    <w:rsid w:val="0037030C"/>
    <w:rsid w:val="00373A15"/>
    <w:rsid w:val="0037489B"/>
    <w:rsid w:val="00374E47"/>
    <w:rsid w:val="0037513D"/>
    <w:rsid w:val="003765A0"/>
    <w:rsid w:val="0037789C"/>
    <w:rsid w:val="0037799A"/>
    <w:rsid w:val="00377C4D"/>
    <w:rsid w:val="00377D70"/>
    <w:rsid w:val="00381122"/>
    <w:rsid w:val="00390B45"/>
    <w:rsid w:val="0039170A"/>
    <w:rsid w:val="00394EC5"/>
    <w:rsid w:val="003A18D1"/>
    <w:rsid w:val="003A1C1B"/>
    <w:rsid w:val="003A5826"/>
    <w:rsid w:val="003A5FF3"/>
    <w:rsid w:val="003B18D4"/>
    <w:rsid w:val="003B1911"/>
    <w:rsid w:val="003B25DB"/>
    <w:rsid w:val="003B2934"/>
    <w:rsid w:val="003B5B55"/>
    <w:rsid w:val="003C126B"/>
    <w:rsid w:val="003C1513"/>
    <w:rsid w:val="003C2A0B"/>
    <w:rsid w:val="003C3E2F"/>
    <w:rsid w:val="003C56AD"/>
    <w:rsid w:val="003C5A78"/>
    <w:rsid w:val="003D0781"/>
    <w:rsid w:val="003D6FEE"/>
    <w:rsid w:val="003D7AD8"/>
    <w:rsid w:val="003E0230"/>
    <w:rsid w:val="003E0F95"/>
    <w:rsid w:val="003E1D08"/>
    <w:rsid w:val="003E3400"/>
    <w:rsid w:val="003E5052"/>
    <w:rsid w:val="003E5BD4"/>
    <w:rsid w:val="003E6081"/>
    <w:rsid w:val="003E697F"/>
    <w:rsid w:val="003E6C1F"/>
    <w:rsid w:val="003F0B13"/>
    <w:rsid w:val="003F0BF7"/>
    <w:rsid w:val="003F1A7F"/>
    <w:rsid w:val="003F2A46"/>
    <w:rsid w:val="003F3BED"/>
    <w:rsid w:val="003F4E28"/>
    <w:rsid w:val="003F51E5"/>
    <w:rsid w:val="003F5656"/>
    <w:rsid w:val="003F6B21"/>
    <w:rsid w:val="003F6CC1"/>
    <w:rsid w:val="003F70E9"/>
    <w:rsid w:val="00400B00"/>
    <w:rsid w:val="00405024"/>
    <w:rsid w:val="00405F2E"/>
    <w:rsid w:val="0040750A"/>
    <w:rsid w:val="004114D2"/>
    <w:rsid w:val="00411A9D"/>
    <w:rsid w:val="00411B81"/>
    <w:rsid w:val="00412803"/>
    <w:rsid w:val="00413CAB"/>
    <w:rsid w:val="00415A64"/>
    <w:rsid w:val="00417ABC"/>
    <w:rsid w:val="00420805"/>
    <w:rsid w:val="00420D2D"/>
    <w:rsid w:val="0042117A"/>
    <w:rsid w:val="004218BD"/>
    <w:rsid w:val="004222BE"/>
    <w:rsid w:val="00423244"/>
    <w:rsid w:val="00423EE0"/>
    <w:rsid w:val="0042410B"/>
    <w:rsid w:val="004270DF"/>
    <w:rsid w:val="00430582"/>
    <w:rsid w:val="004311C4"/>
    <w:rsid w:val="00431CCA"/>
    <w:rsid w:val="004340F6"/>
    <w:rsid w:val="00435C37"/>
    <w:rsid w:val="00441AE6"/>
    <w:rsid w:val="00445218"/>
    <w:rsid w:val="004452EB"/>
    <w:rsid w:val="00451255"/>
    <w:rsid w:val="0045165C"/>
    <w:rsid w:val="00451986"/>
    <w:rsid w:val="004519FC"/>
    <w:rsid w:val="00452544"/>
    <w:rsid w:val="00455F7F"/>
    <w:rsid w:val="0045602D"/>
    <w:rsid w:val="004564DE"/>
    <w:rsid w:val="0045768D"/>
    <w:rsid w:val="00460545"/>
    <w:rsid w:val="00462BB2"/>
    <w:rsid w:val="00467B5F"/>
    <w:rsid w:val="00472764"/>
    <w:rsid w:val="00472CED"/>
    <w:rsid w:val="00474014"/>
    <w:rsid w:val="004824CD"/>
    <w:rsid w:val="00483D70"/>
    <w:rsid w:val="004852E1"/>
    <w:rsid w:val="004854C1"/>
    <w:rsid w:val="004910D4"/>
    <w:rsid w:val="00492CD6"/>
    <w:rsid w:val="00493FBD"/>
    <w:rsid w:val="0049472C"/>
    <w:rsid w:val="00494D51"/>
    <w:rsid w:val="00494E2E"/>
    <w:rsid w:val="00494FB1"/>
    <w:rsid w:val="00496576"/>
    <w:rsid w:val="004A045F"/>
    <w:rsid w:val="004A1DF1"/>
    <w:rsid w:val="004A3DE9"/>
    <w:rsid w:val="004A450D"/>
    <w:rsid w:val="004A6A3E"/>
    <w:rsid w:val="004A6E89"/>
    <w:rsid w:val="004B078A"/>
    <w:rsid w:val="004B26D4"/>
    <w:rsid w:val="004B378F"/>
    <w:rsid w:val="004B4C9C"/>
    <w:rsid w:val="004B5743"/>
    <w:rsid w:val="004B72DB"/>
    <w:rsid w:val="004C0A00"/>
    <w:rsid w:val="004C2945"/>
    <w:rsid w:val="004C2CEA"/>
    <w:rsid w:val="004C4D9B"/>
    <w:rsid w:val="004C5082"/>
    <w:rsid w:val="004C5426"/>
    <w:rsid w:val="004C6BCD"/>
    <w:rsid w:val="004C72BD"/>
    <w:rsid w:val="004C7B36"/>
    <w:rsid w:val="004D06D9"/>
    <w:rsid w:val="004D6443"/>
    <w:rsid w:val="004D6AAE"/>
    <w:rsid w:val="004D7AB2"/>
    <w:rsid w:val="004D7F06"/>
    <w:rsid w:val="004E081E"/>
    <w:rsid w:val="004E0A50"/>
    <w:rsid w:val="004E29D8"/>
    <w:rsid w:val="004E5413"/>
    <w:rsid w:val="004E6D52"/>
    <w:rsid w:val="004F2C07"/>
    <w:rsid w:val="004F6711"/>
    <w:rsid w:val="004F77DF"/>
    <w:rsid w:val="0050058A"/>
    <w:rsid w:val="00501B0E"/>
    <w:rsid w:val="00503AF0"/>
    <w:rsid w:val="0050684B"/>
    <w:rsid w:val="00510802"/>
    <w:rsid w:val="00510E87"/>
    <w:rsid w:val="00514811"/>
    <w:rsid w:val="0051503B"/>
    <w:rsid w:val="00515D0F"/>
    <w:rsid w:val="005172A1"/>
    <w:rsid w:val="00517AA3"/>
    <w:rsid w:val="005250D0"/>
    <w:rsid w:val="005339C5"/>
    <w:rsid w:val="005402D1"/>
    <w:rsid w:val="00542F8E"/>
    <w:rsid w:val="005438F8"/>
    <w:rsid w:val="0054569A"/>
    <w:rsid w:val="00547851"/>
    <w:rsid w:val="0055000D"/>
    <w:rsid w:val="0055037D"/>
    <w:rsid w:val="005509E5"/>
    <w:rsid w:val="00554AC7"/>
    <w:rsid w:val="00563A06"/>
    <w:rsid w:val="00563A5B"/>
    <w:rsid w:val="00565248"/>
    <w:rsid w:val="00565E53"/>
    <w:rsid w:val="005663BC"/>
    <w:rsid w:val="00566AA9"/>
    <w:rsid w:val="00566B12"/>
    <w:rsid w:val="005672CA"/>
    <w:rsid w:val="00570084"/>
    <w:rsid w:val="00570657"/>
    <w:rsid w:val="005717BF"/>
    <w:rsid w:val="005734FA"/>
    <w:rsid w:val="00573E6D"/>
    <w:rsid w:val="00574057"/>
    <w:rsid w:val="00576EFD"/>
    <w:rsid w:val="00577C63"/>
    <w:rsid w:val="00577C71"/>
    <w:rsid w:val="00577CF1"/>
    <w:rsid w:val="00580EBD"/>
    <w:rsid w:val="00584653"/>
    <w:rsid w:val="005849C0"/>
    <w:rsid w:val="00590C67"/>
    <w:rsid w:val="00591A6A"/>
    <w:rsid w:val="00591B1F"/>
    <w:rsid w:val="00593782"/>
    <w:rsid w:val="00597C8A"/>
    <w:rsid w:val="005A0F7D"/>
    <w:rsid w:val="005A217B"/>
    <w:rsid w:val="005A3543"/>
    <w:rsid w:val="005A6FBA"/>
    <w:rsid w:val="005B01F6"/>
    <w:rsid w:val="005B040D"/>
    <w:rsid w:val="005B25AF"/>
    <w:rsid w:val="005B273F"/>
    <w:rsid w:val="005B573A"/>
    <w:rsid w:val="005B6F12"/>
    <w:rsid w:val="005B70BD"/>
    <w:rsid w:val="005B7BC5"/>
    <w:rsid w:val="005C03CA"/>
    <w:rsid w:val="005C1470"/>
    <w:rsid w:val="005C1E45"/>
    <w:rsid w:val="005C2A93"/>
    <w:rsid w:val="005C34A2"/>
    <w:rsid w:val="005C53D3"/>
    <w:rsid w:val="005C5AFB"/>
    <w:rsid w:val="005D0133"/>
    <w:rsid w:val="005D2AF6"/>
    <w:rsid w:val="005D4043"/>
    <w:rsid w:val="005D710F"/>
    <w:rsid w:val="005E051F"/>
    <w:rsid w:val="005E1910"/>
    <w:rsid w:val="005E2B27"/>
    <w:rsid w:val="005E4170"/>
    <w:rsid w:val="005E4CBE"/>
    <w:rsid w:val="005E6641"/>
    <w:rsid w:val="005E6822"/>
    <w:rsid w:val="005E7446"/>
    <w:rsid w:val="005F034F"/>
    <w:rsid w:val="005F102E"/>
    <w:rsid w:val="005F1CF2"/>
    <w:rsid w:val="005F43AE"/>
    <w:rsid w:val="00600A92"/>
    <w:rsid w:val="006033A6"/>
    <w:rsid w:val="00604FF0"/>
    <w:rsid w:val="006066C8"/>
    <w:rsid w:val="0061358F"/>
    <w:rsid w:val="006144A4"/>
    <w:rsid w:val="00614DCE"/>
    <w:rsid w:val="00616BC3"/>
    <w:rsid w:val="006207FE"/>
    <w:rsid w:val="00624F08"/>
    <w:rsid w:val="006250D1"/>
    <w:rsid w:val="00626CF7"/>
    <w:rsid w:val="0063020A"/>
    <w:rsid w:val="006305E6"/>
    <w:rsid w:val="00632D18"/>
    <w:rsid w:val="00634810"/>
    <w:rsid w:val="006366F1"/>
    <w:rsid w:val="006402BC"/>
    <w:rsid w:val="00640D70"/>
    <w:rsid w:val="00641DCE"/>
    <w:rsid w:val="006440FB"/>
    <w:rsid w:val="00644827"/>
    <w:rsid w:val="00645C4B"/>
    <w:rsid w:val="00646947"/>
    <w:rsid w:val="00646A01"/>
    <w:rsid w:val="00647027"/>
    <w:rsid w:val="006472D0"/>
    <w:rsid w:val="00647D77"/>
    <w:rsid w:val="00652724"/>
    <w:rsid w:val="00654BB5"/>
    <w:rsid w:val="006558D9"/>
    <w:rsid w:val="006608F0"/>
    <w:rsid w:val="00661EF6"/>
    <w:rsid w:val="00662FC9"/>
    <w:rsid w:val="0066383F"/>
    <w:rsid w:val="00665932"/>
    <w:rsid w:val="00666149"/>
    <w:rsid w:val="006700CD"/>
    <w:rsid w:val="00674E8C"/>
    <w:rsid w:val="00675B4E"/>
    <w:rsid w:val="006805B8"/>
    <w:rsid w:val="006805E4"/>
    <w:rsid w:val="0068188E"/>
    <w:rsid w:val="00681B88"/>
    <w:rsid w:val="0068280D"/>
    <w:rsid w:val="00683964"/>
    <w:rsid w:val="00685097"/>
    <w:rsid w:val="00685794"/>
    <w:rsid w:val="006871EA"/>
    <w:rsid w:val="006879D5"/>
    <w:rsid w:val="00687BEC"/>
    <w:rsid w:val="00687F51"/>
    <w:rsid w:val="00691F5B"/>
    <w:rsid w:val="006927C2"/>
    <w:rsid w:val="00693F03"/>
    <w:rsid w:val="006974F0"/>
    <w:rsid w:val="006978AE"/>
    <w:rsid w:val="006A298A"/>
    <w:rsid w:val="006A2F94"/>
    <w:rsid w:val="006A53C9"/>
    <w:rsid w:val="006B0D59"/>
    <w:rsid w:val="006B22D8"/>
    <w:rsid w:val="006B3717"/>
    <w:rsid w:val="006C226C"/>
    <w:rsid w:val="006C42C0"/>
    <w:rsid w:val="006C576E"/>
    <w:rsid w:val="006C758D"/>
    <w:rsid w:val="006C7FD1"/>
    <w:rsid w:val="006D0153"/>
    <w:rsid w:val="006D1327"/>
    <w:rsid w:val="006D409C"/>
    <w:rsid w:val="006D5623"/>
    <w:rsid w:val="006D66B6"/>
    <w:rsid w:val="006D67AD"/>
    <w:rsid w:val="006E0781"/>
    <w:rsid w:val="006E3EDC"/>
    <w:rsid w:val="006E49C9"/>
    <w:rsid w:val="006F2FD9"/>
    <w:rsid w:val="006F68F3"/>
    <w:rsid w:val="006F7113"/>
    <w:rsid w:val="00704397"/>
    <w:rsid w:val="0070672F"/>
    <w:rsid w:val="00706F4C"/>
    <w:rsid w:val="00710160"/>
    <w:rsid w:val="007102E2"/>
    <w:rsid w:val="0071217F"/>
    <w:rsid w:val="00712D65"/>
    <w:rsid w:val="007170C4"/>
    <w:rsid w:val="007206A5"/>
    <w:rsid w:val="00721BEA"/>
    <w:rsid w:val="00725484"/>
    <w:rsid w:val="007257EA"/>
    <w:rsid w:val="00731F0A"/>
    <w:rsid w:val="00731F4C"/>
    <w:rsid w:val="00737CFB"/>
    <w:rsid w:val="007402FA"/>
    <w:rsid w:val="007438E8"/>
    <w:rsid w:val="00744A1D"/>
    <w:rsid w:val="0074552D"/>
    <w:rsid w:val="007549DF"/>
    <w:rsid w:val="007568BB"/>
    <w:rsid w:val="007617BA"/>
    <w:rsid w:val="007624A3"/>
    <w:rsid w:val="00763A14"/>
    <w:rsid w:val="0076589B"/>
    <w:rsid w:val="00766015"/>
    <w:rsid w:val="007660EB"/>
    <w:rsid w:val="00770959"/>
    <w:rsid w:val="00770E13"/>
    <w:rsid w:val="00772386"/>
    <w:rsid w:val="0077636A"/>
    <w:rsid w:val="00776C52"/>
    <w:rsid w:val="00782200"/>
    <w:rsid w:val="00783AEF"/>
    <w:rsid w:val="00783CED"/>
    <w:rsid w:val="007856C9"/>
    <w:rsid w:val="00785747"/>
    <w:rsid w:val="00786151"/>
    <w:rsid w:val="007876B0"/>
    <w:rsid w:val="00791B4B"/>
    <w:rsid w:val="00792BAC"/>
    <w:rsid w:val="0079505A"/>
    <w:rsid w:val="00795A30"/>
    <w:rsid w:val="007A1632"/>
    <w:rsid w:val="007A1C32"/>
    <w:rsid w:val="007A2F8B"/>
    <w:rsid w:val="007A503A"/>
    <w:rsid w:val="007A68DE"/>
    <w:rsid w:val="007A7181"/>
    <w:rsid w:val="007A7E51"/>
    <w:rsid w:val="007B22BF"/>
    <w:rsid w:val="007B2BE6"/>
    <w:rsid w:val="007C0695"/>
    <w:rsid w:val="007D1351"/>
    <w:rsid w:val="007D2335"/>
    <w:rsid w:val="007D2D2A"/>
    <w:rsid w:val="007D30B1"/>
    <w:rsid w:val="007D39F8"/>
    <w:rsid w:val="007D4563"/>
    <w:rsid w:val="007D464A"/>
    <w:rsid w:val="007D759B"/>
    <w:rsid w:val="007E1683"/>
    <w:rsid w:val="007E25A3"/>
    <w:rsid w:val="007E270F"/>
    <w:rsid w:val="007E3256"/>
    <w:rsid w:val="007E32D6"/>
    <w:rsid w:val="007E5857"/>
    <w:rsid w:val="007F0A0D"/>
    <w:rsid w:val="007F0AB4"/>
    <w:rsid w:val="007F0B57"/>
    <w:rsid w:val="007F1D8D"/>
    <w:rsid w:val="007F3EF0"/>
    <w:rsid w:val="0080135F"/>
    <w:rsid w:val="00803A14"/>
    <w:rsid w:val="00803F71"/>
    <w:rsid w:val="0080691F"/>
    <w:rsid w:val="00807C66"/>
    <w:rsid w:val="0081077A"/>
    <w:rsid w:val="00810791"/>
    <w:rsid w:val="00810F2D"/>
    <w:rsid w:val="00811A99"/>
    <w:rsid w:val="00812AA4"/>
    <w:rsid w:val="0081546E"/>
    <w:rsid w:val="00817598"/>
    <w:rsid w:val="00820118"/>
    <w:rsid w:val="0082066A"/>
    <w:rsid w:val="00820A43"/>
    <w:rsid w:val="00822A5F"/>
    <w:rsid w:val="00827008"/>
    <w:rsid w:val="00827C93"/>
    <w:rsid w:val="00830406"/>
    <w:rsid w:val="008305FB"/>
    <w:rsid w:val="008318C5"/>
    <w:rsid w:val="00831F46"/>
    <w:rsid w:val="00835B38"/>
    <w:rsid w:val="00837572"/>
    <w:rsid w:val="008407C6"/>
    <w:rsid w:val="00841003"/>
    <w:rsid w:val="00842B3A"/>
    <w:rsid w:val="00846880"/>
    <w:rsid w:val="008566CB"/>
    <w:rsid w:val="00857974"/>
    <w:rsid w:val="0086049B"/>
    <w:rsid w:val="00861644"/>
    <w:rsid w:val="0086164A"/>
    <w:rsid w:val="00862990"/>
    <w:rsid w:val="00862E3F"/>
    <w:rsid w:val="008668F0"/>
    <w:rsid w:val="00870AC9"/>
    <w:rsid w:val="00871F9D"/>
    <w:rsid w:val="00873D3A"/>
    <w:rsid w:val="00874B49"/>
    <w:rsid w:val="008842CB"/>
    <w:rsid w:val="0088614A"/>
    <w:rsid w:val="0088733A"/>
    <w:rsid w:val="008879BC"/>
    <w:rsid w:val="0089630D"/>
    <w:rsid w:val="008A25E6"/>
    <w:rsid w:val="008A25F0"/>
    <w:rsid w:val="008A6F80"/>
    <w:rsid w:val="008A7BFD"/>
    <w:rsid w:val="008B7048"/>
    <w:rsid w:val="008C0010"/>
    <w:rsid w:val="008C39D6"/>
    <w:rsid w:val="008C453A"/>
    <w:rsid w:val="008C650B"/>
    <w:rsid w:val="008D0072"/>
    <w:rsid w:val="008D0787"/>
    <w:rsid w:val="008D17A8"/>
    <w:rsid w:val="008D347B"/>
    <w:rsid w:val="008D3716"/>
    <w:rsid w:val="008D3D86"/>
    <w:rsid w:val="008D5692"/>
    <w:rsid w:val="008D5774"/>
    <w:rsid w:val="008D60EC"/>
    <w:rsid w:val="008E1B66"/>
    <w:rsid w:val="008E28DA"/>
    <w:rsid w:val="008E48E7"/>
    <w:rsid w:val="008E6AAD"/>
    <w:rsid w:val="008F0477"/>
    <w:rsid w:val="008F4672"/>
    <w:rsid w:val="008F5359"/>
    <w:rsid w:val="008F71FB"/>
    <w:rsid w:val="00903406"/>
    <w:rsid w:val="009056F2"/>
    <w:rsid w:val="00905B05"/>
    <w:rsid w:val="00914425"/>
    <w:rsid w:val="009213A8"/>
    <w:rsid w:val="00922631"/>
    <w:rsid w:val="00923DE4"/>
    <w:rsid w:val="009243D1"/>
    <w:rsid w:val="00924AE7"/>
    <w:rsid w:val="009252C4"/>
    <w:rsid w:val="00925588"/>
    <w:rsid w:val="00926985"/>
    <w:rsid w:val="00930D43"/>
    <w:rsid w:val="00934740"/>
    <w:rsid w:val="00937AD8"/>
    <w:rsid w:val="00942F87"/>
    <w:rsid w:val="009432BE"/>
    <w:rsid w:val="0094584B"/>
    <w:rsid w:val="009478AD"/>
    <w:rsid w:val="00950CA4"/>
    <w:rsid w:val="00951115"/>
    <w:rsid w:val="009516A8"/>
    <w:rsid w:val="009519CD"/>
    <w:rsid w:val="00952E14"/>
    <w:rsid w:val="009543C6"/>
    <w:rsid w:val="009551B0"/>
    <w:rsid w:val="009569B5"/>
    <w:rsid w:val="00957415"/>
    <w:rsid w:val="0095787A"/>
    <w:rsid w:val="009614DE"/>
    <w:rsid w:val="00961919"/>
    <w:rsid w:val="009640F4"/>
    <w:rsid w:val="009664F0"/>
    <w:rsid w:val="009727BB"/>
    <w:rsid w:val="0097427F"/>
    <w:rsid w:val="00980781"/>
    <w:rsid w:val="009820DA"/>
    <w:rsid w:val="00985DB2"/>
    <w:rsid w:val="0098725F"/>
    <w:rsid w:val="009879CE"/>
    <w:rsid w:val="00990DA2"/>
    <w:rsid w:val="00992A1E"/>
    <w:rsid w:val="009941D6"/>
    <w:rsid w:val="00994A55"/>
    <w:rsid w:val="00996637"/>
    <w:rsid w:val="009A00D1"/>
    <w:rsid w:val="009A28DF"/>
    <w:rsid w:val="009A2C5A"/>
    <w:rsid w:val="009A3E51"/>
    <w:rsid w:val="009A59B1"/>
    <w:rsid w:val="009B02F9"/>
    <w:rsid w:val="009B0BF9"/>
    <w:rsid w:val="009B1DB6"/>
    <w:rsid w:val="009B1FDF"/>
    <w:rsid w:val="009B2ABE"/>
    <w:rsid w:val="009B3AEB"/>
    <w:rsid w:val="009B3B7A"/>
    <w:rsid w:val="009B63E1"/>
    <w:rsid w:val="009B65DC"/>
    <w:rsid w:val="009C6443"/>
    <w:rsid w:val="009D1B54"/>
    <w:rsid w:val="009D2C32"/>
    <w:rsid w:val="009D34C1"/>
    <w:rsid w:val="009D5B7E"/>
    <w:rsid w:val="009D61EF"/>
    <w:rsid w:val="009E320F"/>
    <w:rsid w:val="009E3382"/>
    <w:rsid w:val="009E6A26"/>
    <w:rsid w:val="009F12BC"/>
    <w:rsid w:val="009F15FD"/>
    <w:rsid w:val="009F18B2"/>
    <w:rsid w:val="009F224B"/>
    <w:rsid w:val="009F283A"/>
    <w:rsid w:val="009F40CD"/>
    <w:rsid w:val="009F4501"/>
    <w:rsid w:val="009F7132"/>
    <w:rsid w:val="009F767B"/>
    <w:rsid w:val="009F76AF"/>
    <w:rsid w:val="00A003D8"/>
    <w:rsid w:val="00A01194"/>
    <w:rsid w:val="00A01683"/>
    <w:rsid w:val="00A0214E"/>
    <w:rsid w:val="00A1128A"/>
    <w:rsid w:val="00A121C1"/>
    <w:rsid w:val="00A13A43"/>
    <w:rsid w:val="00A14692"/>
    <w:rsid w:val="00A14D7F"/>
    <w:rsid w:val="00A167D7"/>
    <w:rsid w:val="00A16D18"/>
    <w:rsid w:val="00A17C54"/>
    <w:rsid w:val="00A20D54"/>
    <w:rsid w:val="00A20EFD"/>
    <w:rsid w:val="00A2123D"/>
    <w:rsid w:val="00A2197F"/>
    <w:rsid w:val="00A26555"/>
    <w:rsid w:val="00A26A0D"/>
    <w:rsid w:val="00A275C9"/>
    <w:rsid w:val="00A3180C"/>
    <w:rsid w:val="00A3307E"/>
    <w:rsid w:val="00A335C7"/>
    <w:rsid w:val="00A33FF2"/>
    <w:rsid w:val="00A34E16"/>
    <w:rsid w:val="00A3567B"/>
    <w:rsid w:val="00A35FAE"/>
    <w:rsid w:val="00A36A67"/>
    <w:rsid w:val="00A4022F"/>
    <w:rsid w:val="00A406D5"/>
    <w:rsid w:val="00A407BE"/>
    <w:rsid w:val="00A409BA"/>
    <w:rsid w:val="00A4270A"/>
    <w:rsid w:val="00A46281"/>
    <w:rsid w:val="00A57530"/>
    <w:rsid w:val="00A60156"/>
    <w:rsid w:val="00A619CB"/>
    <w:rsid w:val="00A631A0"/>
    <w:rsid w:val="00A65B61"/>
    <w:rsid w:val="00A73BE8"/>
    <w:rsid w:val="00A75214"/>
    <w:rsid w:val="00A77226"/>
    <w:rsid w:val="00A83A8E"/>
    <w:rsid w:val="00A83B18"/>
    <w:rsid w:val="00A84322"/>
    <w:rsid w:val="00A860C9"/>
    <w:rsid w:val="00A87610"/>
    <w:rsid w:val="00A95CBD"/>
    <w:rsid w:val="00A96EE8"/>
    <w:rsid w:val="00A97E12"/>
    <w:rsid w:val="00AA2CEA"/>
    <w:rsid w:val="00AA3927"/>
    <w:rsid w:val="00AA3A93"/>
    <w:rsid w:val="00AA489A"/>
    <w:rsid w:val="00AA5973"/>
    <w:rsid w:val="00AA6653"/>
    <w:rsid w:val="00AA7816"/>
    <w:rsid w:val="00AA7A96"/>
    <w:rsid w:val="00AB0380"/>
    <w:rsid w:val="00AB3526"/>
    <w:rsid w:val="00AB54B7"/>
    <w:rsid w:val="00AB5ED0"/>
    <w:rsid w:val="00AC1208"/>
    <w:rsid w:val="00AC1ACE"/>
    <w:rsid w:val="00AC289D"/>
    <w:rsid w:val="00AC5D21"/>
    <w:rsid w:val="00AC5E6F"/>
    <w:rsid w:val="00AC6090"/>
    <w:rsid w:val="00AD0D8D"/>
    <w:rsid w:val="00AD170F"/>
    <w:rsid w:val="00AD1EE2"/>
    <w:rsid w:val="00AE0472"/>
    <w:rsid w:val="00AE23AC"/>
    <w:rsid w:val="00AE27E1"/>
    <w:rsid w:val="00AE3CE0"/>
    <w:rsid w:val="00AE475E"/>
    <w:rsid w:val="00AE4992"/>
    <w:rsid w:val="00AE6189"/>
    <w:rsid w:val="00AE733F"/>
    <w:rsid w:val="00AE765A"/>
    <w:rsid w:val="00AF1F7D"/>
    <w:rsid w:val="00AF3BC8"/>
    <w:rsid w:val="00AF3C7D"/>
    <w:rsid w:val="00AF584B"/>
    <w:rsid w:val="00AF688E"/>
    <w:rsid w:val="00B00579"/>
    <w:rsid w:val="00B0216C"/>
    <w:rsid w:val="00B059A2"/>
    <w:rsid w:val="00B0772E"/>
    <w:rsid w:val="00B1040E"/>
    <w:rsid w:val="00B10976"/>
    <w:rsid w:val="00B127BD"/>
    <w:rsid w:val="00B13D46"/>
    <w:rsid w:val="00B1573B"/>
    <w:rsid w:val="00B202FE"/>
    <w:rsid w:val="00B2362C"/>
    <w:rsid w:val="00B24636"/>
    <w:rsid w:val="00B27647"/>
    <w:rsid w:val="00B306E7"/>
    <w:rsid w:val="00B3115C"/>
    <w:rsid w:val="00B314B0"/>
    <w:rsid w:val="00B34C1A"/>
    <w:rsid w:val="00B34F39"/>
    <w:rsid w:val="00B35C74"/>
    <w:rsid w:val="00B36A6E"/>
    <w:rsid w:val="00B44239"/>
    <w:rsid w:val="00B4580D"/>
    <w:rsid w:val="00B51B99"/>
    <w:rsid w:val="00B53716"/>
    <w:rsid w:val="00B54205"/>
    <w:rsid w:val="00B54712"/>
    <w:rsid w:val="00B54F88"/>
    <w:rsid w:val="00B558CA"/>
    <w:rsid w:val="00B64B1A"/>
    <w:rsid w:val="00B6559F"/>
    <w:rsid w:val="00B65E54"/>
    <w:rsid w:val="00B66096"/>
    <w:rsid w:val="00B7237D"/>
    <w:rsid w:val="00B76A73"/>
    <w:rsid w:val="00B83CCE"/>
    <w:rsid w:val="00B863CC"/>
    <w:rsid w:val="00B90764"/>
    <w:rsid w:val="00B9151B"/>
    <w:rsid w:val="00B925CE"/>
    <w:rsid w:val="00B95398"/>
    <w:rsid w:val="00B953F6"/>
    <w:rsid w:val="00BA7DB0"/>
    <w:rsid w:val="00BB3595"/>
    <w:rsid w:val="00BB446C"/>
    <w:rsid w:val="00BB4605"/>
    <w:rsid w:val="00BB5BDE"/>
    <w:rsid w:val="00BB7FD3"/>
    <w:rsid w:val="00BC05FA"/>
    <w:rsid w:val="00BC14FD"/>
    <w:rsid w:val="00BC3086"/>
    <w:rsid w:val="00BC37BD"/>
    <w:rsid w:val="00BC5095"/>
    <w:rsid w:val="00BC5344"/>
    <w:rsid w:val="00BC60F0"/>
    <w:rsid w:val="00BD4126"/>
    <w:rsid w:val="00BD4290"/>
    <w:rsid w:val="00BD44F4"/>
    <w:rsid w:val="00BD65B3"/>
    <w:rsid w:val="00BD7B7D"/>
    <w:rsid w:val="00BE2C45"/>
    <w:rsid w:val="00BE4833"/>
    <w:rsid w:val="00BE5121"/>
    <w:rsid w:val="00BE5BE8"/>
    <w:rsid w:val="00BE68E4"/>
    <w:rsid w:val="00BE710B"/>
    <w:rsid w:val="00BE7E4E"/>
    <w:rsid w:val="00BF424C"/>
    <w:rsid w:val="00BF53FF"/>
    <w:rsid w:val="00BF7E5C"/>
    <w:rsid w:val="00C01060"/>
    <w:rsid w:val="00C034B5"/>
    <w:rsid w:val="00C06943"/>
    <w:rsid w:val="00C07F73"/>
    <w:rsid w:val="00C10348"/>
    <w:rsid w:val="00C10FEE"/>
    <w:rsid w:val="00C1411E"/>
    <w:rsid w:val="00C14626"/>
    <w:rsid w:val="00C17AC9"/>
    <w:rsid w:val="00C21283"/>
    <w:rsid w:val="00C23D9E"/>
    <w:rsid w:val="00C30BE2"/>
    <w:rsid w:val="00C31B0A"/>
    <w:rsid w:val="00C32F86"/>
    <w:rsid w:val="00C42F1B"/>
    <w:rsid w:val="00C436B5"/>
    <w:rsid w:val="00C4422D"/>
    <w:rsid w:val="00C450AD"/>
    <w:rsid w:val="00C4677D"/>
    <w:rsid w:val="00C46B3B"/>
    <w:rsid w:val="00C47EDB"/>
    <w:rsid w:val="00C50F4F"/>
    <w:rsid w:val="00C51BE1"/>
    <w:rsid w:val="00C62B55"/>
    <w:rsid w:val="00C6333C"/>
    <w:rsid w:val="00C64682"/>
    <w:rsid w:val="00C6516C"/>
    <w:rsid w:val="00C66BCF"/>
    <w:rsid w:val="00C72F76"/>
    <w:rsid w:val="00C75873"/>
    <w:rsid w:val="00C765D7"/>
    <w:rsid w:val="00C77583"/>
    <w:rsid w:val="00C815D2"/>
    <w:rsid w:val="00C85796"/>
    <w:rsid w:val="00C872EA"/>
    <w:rsid w:val="00C8763F"/>
    <w:rsid w:val="00C87D62"/>
    <w:rsid w:val="00C91C50"/>
    <w:rsid w:val="00C95DD0"/>
    <w:rsid w:val="00C960D1"/>
    <w:rsid w:val="00C96139"/>
    <w:rsid w:val="00C96693"/>
    <w:rsid w:val="00C97846"/>
    <w:rsid w:val="00CA05F0"/>
    <w:rsid w:val="00CA07BC"/>
    <w:rsid w:val="00CA3B1D"/>
    <w:rsid w:val="00CB12A5"/>
    <w:rsid w:val="00CB4822"/>
    <w:rsid w:val="00CB4FC3"/>
    <w:rsid w:val="00CB6098"/>
    <w:rsid w:val="00CC2C2C"/>
    <w:rsid w:val="00CC34BE"/>
    <w:rsid w:val="00CC3BA8"/>
    <w:rsid w:val="00CC427A"/>
    <w:rsid w:val="00CC4CE1"/>
    <w:rsid w:val="00CC5983"/>
    <w:rsid w:val="00CD0E58"/>
    <w:rsid w:val="00CD414F"/>
    <w:rsid w:val="00CD5E09"/>
    <w:rsid w:val="00CD648D"/>
    <w:rsid w:val="00CD785D"/>
    <w:rsid w:val="00CE3D9D"/>
    <w:rsid w:val="00CE42E3"/>
    <w:rsid w:val="00CE6532"/>
    <w:rsid w:val="00CE7E31"/>
    <w:rsid w:val="00CF2ADD"/>
    <w:rsid w:val="00CF41C1"/>
    <w:rsid w:val="00CF4D80"/>
    <w:rsid w:val="00CF5245"/>
    <w:rsid w:val="00CF5E36"/>
    <w:rsid w:val="00CF63EC"/>
    <w:rsid w:val="00CF7B55"/>
    <w:rsid w:val="00D04975"/>
    <w:rsid w:val="00D05217"/>
    <w:rsid w:val="00D05359"/>
    <w:rsid w:val="00D06104"/>
    <w:rsid w:val="00D11EBE"/>
    <w:rsid w:val="00D13281"/>
    <w:rsid w:val="00D15DD5"/>
    <w:rsid w:val="00D16195"/>
    <w:rsid w:val="00D21454"/>
    <w:rsid w:val="00D2417E"/>
    <w:rsid w:val="00D31F70"/>
    <w:rsid w:val="00D3208D"/>
    <w:rsid w:val="00D3376B"/>
    <w:rsid w:val="00D34C37"/>
    <w:rsid w:val="00D350C7"/>
    <w:rsid w:val="00D35E9D"/>
    <w:rsid w:val="00D360F0"/>
    <w:rsid w:val="00D36DEA"/>
    <w:rsid w:val="00D4447E"/>
    <w:rsid w:val="00D444E2"/>
    <w:rsid w:val="00D445B9"/>
    <w:rsid w:val="00D450C3"/>
    <w:rsid w:val="00D45A80"/>
    <w:rsid w:val="00D47D85"/>
    <w:rsid w:val="00D5144A"/>
    <w:rsid w:val="00D56E22"/>
    <w:rsid w:val="00D57D0D"/>
    <w:rsid w:val="00D63DBD"/>
    <w:rsid w:val="00D63F6A"/>
    <w:rsid w:val="00D645DB"/>
    <w:rsid w:val="00D6660D"/>
    <w:rsid w:val="00D70D25"/>
    <w:rsid w:val="00D71B2C"/>
    <w:rsid w:val="00D764E0"/>
    <w:rsid w:val="00D76691"/>
    <w:rsid w:val="00D779A2"/>
    <w:rsid w:val="00D80040"/>
    <w:rsid w:val="00D83B35"/>
    <w:rsid w:val="00D8663C"/>
    <w:rsid w:val="00D87574"/>
    <w:rsid w:val="00D90713"/>
    <w:rsid w:val="00D90D60"/>
    <w:rsid w:val="00D91F07"/>
    <w:rsid w:val="00D922DA"/>
    <w:rsid w:val="00D92451"/>
    <w:rsid w:val="00D969DA"/>
    <w:rsid w:val="00DA441D"/>
    <w:rsid w:val="00DB1047"/>
    <w:rsid w:val="00DB22CB"/>
    <w:rsid w:val="00DB24B7"/>
    <w:rsid w:val="00DB456F"/>
    <w:rsid w:val="00DB4F70"/>
    <w:rsid w:val="00DB52B7"/>
    <w:rsid w:val="00DB5426"/>
    <w:rsid w:val="00DB56EA"/>
    <w:rsid w:val="00DB6F07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D2C5E"/>
    <w:rsid w:val="00DD3A78"/>
    <w:rsid w:val="00DD4BAC"/>
    <w:rsid w:val="00DD5161"/>
    <w:rsid w:val="00DD635B"/>
    <w:rsid w:val="00DD7E7F"/>
    <w:rsid w:val="00DE011F"/>
    <w:rsid w:val="00DE0907"/>
    <w:rsid w:val="00DE097F"/>
    <w:rsid w:val="00DE0D93"/>
    <w:rsid w:val="00DE31BB"/>
    <w:rsid w:val="00DE4291"/>
    <w:rsid w:val="00DE5263"/>
    <w:rsid w:val="00DE6C8F"/>
    <w:rsid w:val="00DF0695"/>
    <w:rsid w:val="00DF21D0"/>
    <w:rsid w:val="00DF2E06"/>
    <w:rsid w:val="00DF4486"/>
    <w:rsid w:val="00DF4AE4"/>
    <w:rsid w:val="00DF4BEE"/>
    <w:rsid w:val="00DF4C55"/>
    <w:rsid w:val="00E000ED"/>
    <w:rsid w:val="00E00EF6"/>
    <w:rsid w:val="00E054F6"/>
    <w:rsid w:val="00E0749B"/>
    <w:rsid w:val="00E12528"/>
    <w:rsid w:val="00E13333"/>
    <w:rsid w:val="00E14CD5"/>
    <w:rsid w:val="00E218C0"/>
    <w:rsid w:val="00E22162"/>
    <w:rsid w:val="00E23A49"/>
    <w:rsid w:val="00E2507A"/>
    <w:rsid w:val="00E25A44"/>
    <w:rsid w:val="00E26D16"/>
    <w:rsid w:val="00E26D2B"/>
    <w:rsid w:val="00E272FC"/>
    <w:rsid w:val="00E27625"/>
    <w:rsid w:val="00E30020"/>
    <w:rsid w:val="00E307A6"/>
    <w:rsid w:val="00E35193"/>
    <w:rsid w:val="00E36919"/>
    <w:rsid w:val="00E41A19"/>
    <w:rsid w:val="00E4248A"/>
    <w:rsid w:val="00E5060D"/>
    <w:rsid w:val="00E51698"/>
    <w:rsid w:val="00E53E0F"/>
    <w:rsid w:val="00E60881"/>
    <w:rsid w:val="00E62D74"/>
    <w:rsid w:val="00E656DC"/>
    <w:rsid w:val="00E6719A"/>
    <w:rsid w:val="00E6758A"/>
    <w:rsid w:val="00E67EFF"/>
    <w:rsid w:val="00E708AB"/>
    <w:rsid w:val="00E7294E"/>
    <w:rsid w:val="00E73A3C"/>
    <w:rsid w:val="00E73C3B"/>
    <w:rsid w:val="00E74AB2"/>
    <w:rsid w:val="00E75B38"/>
    <w:rsid w:val="00E75C2E"/>
    <w:rsid w:val="00E765A3"/>
    <w:rsid w:val="00E77CE0"/>
    <w:rsid w:val="00E80D00"/>
    <w:rsid w:val="00E8607C"/>
    <w:rsid w:val="00E862BC"/>
    <w:rsid w:val="00E879FF"/>
    <w:rsid w:val="00E87B52"/>
    <w:rsid w:val="00E9081E"/>
    <w:rsid w:val="00E90DA7"/>
    <w:rsid w:val="00E93880"/>
    <w:rsid w:val="00E93E3E"/>
    <w:rsid w:val="00E956CE"/>
    <w:rsid w:val="00E96D69"/>
    <w:rsid w:val="00EA4712"/>
    <w:rsid w:val="00EA47DB"/>
    <w:rsid w:val="00EA5C2E"/>
    <w:rsid w:val="00EA695B"/>
    <w:rsid w:val="00EA6E60"/>
    <w:rsid w:val="00EB15FA"/>
    <w:rsid w:val="00EB3CDF"/>
    <w:rsid w:val="00EB4B17"/>
    <w:rsid w:val="00EB4D00"/>
    <w:rsid w:val="00EB69FC"/>
    <w:rsid w:val="00EC2CEF"/>
    <w:rsid w:val="00EC777D"/>
    <w:rsid w:val="00EC7AEB"/>
    <w:rsid w:val="00EC7B6F"/>
    <w:rsid w:val="00ED0446"/>
    <w:rsid w:val="00ED3C09"/>
    <w:rsid w:val="00ED541B"/>
    <w:rsid w:val="00ED6ACC"/>
    <w:rsid w:val="00ED747A"/>
    <w:rsid w:val="00EE0414"/>
    <w:rsid w:val="00EE091A"/>
    <w:rsid w:val="00EE1A51"/>
    <w:rsid w:val="00EE3FA6"/>
    <w:rsid w:val="00EE4996"/>
    <w:rsid w:val="00EE77FB"/>
    <w:rsid w:val="00EF449B"/>
    <w:rsid w:val="00EF565F"/>
    <w:rsid w:val="00EF64C6"/>
    <w:rsid w:val="00F010F5"/>
    <w:rsid w:val="00F0622B"/>
    <w:rsid w:val="00F0651C"/>
    <w:rsid w:val="00F06B62"/>
    <w:rsid w:val="00F07026"/>
    <w:rsid w:val="00F0702D"/>
    <w:rsid w:val="00F11367"/>
    <w:rsid w:val="00F11C5D"/>
    <w:rsid w:val="00F12F8D"/>
    <w:rsid w:val="00F16C79"/>
    <w:rsid w:val="00F170CE"/>
    <w:rsid w:val="00F215C5"/>
    <w:rsid w:val="00F320C0"/>
    <w:rsid w:val="00F33A95"/>
    <w:rsid w:val="00F35511"/>
    <w:rsid w:val="00F36FA3"/>
    <w:rsid w:val="00F3716F"/>
    <w:rsid w:val="00F37975"/>
    <w:rsid w:val="00F41156"/>
    <w:rsid w:val="00F413E4"/>
    <w:rsid w:val="00F44122"/>
    <w:rsid w:val="00F471FB"/>
    <w:rsid w:val="00F47301"/>
    <w:rsid w:val="00F509EB"/>
    <w:rsid w:val="00F50B83"/>
    <w:rsid w:val="00F51846"/>
    <w:rsid w:val="00F52AF2"/>
    <w:rsid w:val="00F52D31"/>
    <w:rsid w:val="00F54A23"/>
    <w:rsid w:val="00F55CCF"/>
    <w:rsid w:val="00F55CF9"/>
    <w:rsid w:val="00F566A9"/>
    <w:rsid w:val="00F606DA"/>
    <w:rsid w:val="00F60B6A"/>
    <w:rsid w:val="00F60FCB"/>
    <w:rsid w:val="00F61188"/>
    <w:rsid w:val="00F62909"/>
    <w:rsid w:val="00F63DD2"/>
    <w:rsid w:val="00F64B7B"/>
    <w:rsid w:val="00F652A3"/>
    <w:rsid w:val="00F652D4"/>
    <w:rsid w:val="00F70E7B"/>
    <w:rsid w:val="00F712C0"/>
    <w:rsid w:val="00F7143B"/>
    <w:rsid w:val="00F720DE"/>
    <w:rsid w:val="00F746A9"/>
    <w:rsid w:val="00F76564"/>
    <w:rsid w:val="00F80B37"/>
    <w:rsid w:val="00F8554A"/>
    <w:rsid w:val="00F858EC"/>
    <w:rsid w:val="00F86DF8"/>
    <w:rsid w:val="00F87F88"/>
    <w:rsid w:val="00F933D9"/>
    <w:rsid w:val="00F9453F"/>
    <w:rsid w:val="00F9465C"/>
    <w:rsid w:val="00F953B0"/>
    <w:rsid w:val="00F9571A"/>
    <w:rsid w:val="00F96B46"/>
    <w:rsid w:val="00FA0D07"/>
    <w:rsid w:val="00FA150D"/>
    <w:rsid w:val="00FA5BD0"/>
    <w:rsid w:val="00FA5C46"/>
    <w:rsid w:val="00FA6B0E"/>
    <w:rsid w:val="00FA720F"/>
    <w:rsid w:val="00FB1DD1"/>
    <w:rsid w:val="00FB43D5"/>
    <w:rsid w:val="00FB4DB8"/>
    <w:rsid w:val="00FB52A7"/>
    <w:rsid w:val="00FB5F98"/>
    <w:rsid w:val="00FB63C4"/>
    <w:rsid w:val="00FC31F0"/>
    <w:rsid w:val="00FC66BC"/>
    <w:rsid w:val="00FD43FF"/>
    <w:rsid w:val="00FD4D91"/>
    <w:rsid w:val="00FE1BE8"/>
    <w:rsid w:val="00FE1CF6"/>
    <w:rsid w:val="00FE2AF7"/>
    <w:rsid w:val="00FE3F25"/>
    <w:rsid w:val="00FE6502"/>
    <w:rsid w:val="00FE6E28"/>
    <w:rsid w:val="00FF192D"/>
    <w:rsid w:val="00FF2697"/>
    <w:rsid w:val="00FF3776"/>
    <w:rsid w:val="00FF6325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3ED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6E3EDC"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6E3EDC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6E3ED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6E3EDC"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rsid w:val="006E3EDC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6E3EDC"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rsid w:val="006E3EDC"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rsid w:val="006E3EDC"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rsid w:val="006E3ED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3EDC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rsid w:val="006E3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3EDC"/>
  </w:style>
  <w:style w:type="paragraph" w:styleId="Textpoznpodarou">
    <w:name w:val="footnote text"/>
    <w:basedOn w:val="Normln"/>
    <w:link w:val="TextpoznpodarouChar"/>
    <w:semiHidden/>
    <w:rsid w:val="006E3EDC"/>
    <w:rPr>
      <w:sz w:val="20"/>
    </w:rPr>
  </w:style>
  <w:style w:type="character" w:styleId="Znakapoznpodarou">
    <w:name w:val="footnote reference"/>
    <w:semiHidden/>
    <w:rsid w:val="006E3EDC"/>
    <w:rPr>
      <w:vertAlign w:val="superscript"/>
    </w:rPr>
  </w:style>
  <w:style w:type="paragraph" w:styleId="Zkladntextodsazen">
    <w:name w:val="Body Text Indent"/>
    <w:basedOn w:val="Normln"/>
    <w:rsid w:val="006E3EDC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6E3ED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6E3EDC"/>
    <w:pPr>
      <w:spacing w:line="360" w:lineRule="auto"/>
      <w:jc w:val="both"/>
    </w:pPr>
  </w:style>
  <w:style w:type="paragraph" w:styleId="Zkladntextodsazen2">
    <w:name w:val="Body Text Indent 2"/>
    <w:basedOn w:val="Normln"/>
    <w:rsid w:val="006E3EDC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rsid w:val="006E3EDC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rsid w:val="006E3EDC"/>
    <w:pPr>
      <w:ind w:left="709"/>
      <w:jc w:val="both"/>
    </w:pPr>
  </w:style>
  <w:style w:type="character" w:styleId="Hypertextovodkaz">
    <w:name w:val="Hyperlink"/>
    <w:rsid w:val="006E3EDC"/>
    <w:rPr>
      <w:color w:val="0000FF"/>
      <w:u w:val="single"/>
    </w:rPr>
  </w:style>
  <w:style w:type="paragraph" w:styleId="Rozvr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table" w:styleId="Mkatabulky">
    <w:name w:val="Table Grid"/>
    <w:basedOn w:val="Normlntabulka"/>
    <w:rsid w:val="0068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table" w:styleId="Mkatabulky">
    <w:name w:val="Table Grid"/>
    <w:basedOn w:val="Normlntabulka"/>
    <w:rsid w:val="0068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-mpa-cls3-osobni.mpsvnet.mpsv.cz\osobni\pp\bedrich.novy\dokumenty\Anal&#253;zy\Kopie%20-%20graf%20struktury%20(3).xlsx" TargetMode="External"/><Relationship Id="rId1" Type="http://schemas.openxmlformats.org/officeDocument/2006/relationships/image" Target="../media/image10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600"/>
              <a:t>Struktura čistých spotřebních výdajů domácností        v 1. pololetí 2015</a:t>
            </a:r>
          </a:p>
        </c:rich>
      </c:tx>
      <c:layout>
        <c:manualLayout>
          <c:xMode val="edge"/>
          <c:yMode val="edge"/>
          <c:x val="0.13647871352643143"/>
          <c:y val="1.1299435028248589E-2"/>
        </c:manualLayout>
      </c:layout>
    </c:title>
    <c:plotArea>
      <c:layout>
        <c:manualLayout>
          <c:layoutTarget val="inner"/>
          <c:xMode val="edge"/>
          <c:yMode val="edge"/>
          <c:x val="0.10191923870478754"/>
          <c:y val="0.32788901387326608"/>
          <c:w val="0.74684410586263117"/>
          <c:h val="0.58289727431259253"/>
        </c:manualLayout>
      </c:layout>
      <c:ofPieChart>
        <c:ofPieType val="bar"/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8"/>
          <c:dPt>
            <c:idx val="1"/>
            <c:spPr>
              <a:solidFill>
                <a:srgbClr val="FF3399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9933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FFFF66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spPr>
              <a:solidFill>
                <a:srgbClr val="00FFFF"/>
              </a:solidFill>
              <a:ln>
                <a:solidFill>
                  <a:schemeClr val="tx1"/>
                </a:solidFill>
              </a:ln>
            </c:spPr>
          </c:dPt>
          <c:dPt>
            <c:idx val="7"/>
            <c:spPr>
              <a:pattFill prst="dkDnDiag">
                <a:fgClr>
                  <a:srgbClr val="FF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9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solidFill>
                  <a:schemeClr val="tx1"/>
                </a:solidFill>
              </a:ln>
            </c:spPr>
          </c:dPt>
          <c:dPt>
            <c:idx val="1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Výživa
20,</a:t>
                    </a:r>
                    <a:r>
                      <a:rPr lang="cs-CZ"/>
                      <a:t>1</a:t>
                    </a:r>
                    <a:r>
                      <a:rPr lang="en-US"/>
                      <a:t>%</a:t>
                    </a:r>
                    <a:r>
                      <a:rPr lang="cs-CZ"/>
                      <a:t>         (-0,3)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Ostatní výdaje </a:t>
                    </a:r>
                    <a:r>
                      <a:rPr lang="cs-CZ" baseline="30000"/>
                      <a:t>1</a:t>
                    </a:r>
                    <a:r>
                      <a:rPr lang="en-US" baseline="30000"/>
                      <a:t>)</a:t>
                    </a:r>
                    <a:r>
                      <a:rPr lang="en-US"/>
                      <a:t>
15,</a:t>
                    </a:r>
                    <a:r>
                      <a:rPr lang="cs-CZ"/>
                      <a:t>9</a:t>
                    </a:r>
                    <a:r>
                      <a:rPr lang="en-US"/>
                      <a:t>%</a:t>
                    </a:r>
                    <a:r>
                      <a:rPr lang="cs-CZ"/>
                      <a:t> (+0,2)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5.6061881726529432E-4"/>
                  <c:y val="-2.433556072755135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Odívání a obuv
4,</a:t>
                    </a:r>
                    <a:r>
                      <a:rPr lang="cs-CZ"/>
                      <a:t>7</a:t>
                    </a:r>
                    <a:r>
                      <a:rPr lang="en-US"/>
                      <a:t>%</a:t>
                    </a:r>
                    <a:r>
                      <a:rPr lang="cs-CZ"/>
                      <a:t> (+0,2)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"/>
                  <c:y val="-1.5216937273332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Rekreace a kultura
9,</a:t>
                    </a:r>
                    <a:r>
                      <a:rPr lang="cs-CZ"/>
                      <a:t>0</a:t>
                    </a:r>
                    <a:r>
                      <a:rPr lang="en-US"/>
                      <a:t>%</a:t>
                    </a:r>
                    <a:r>
                      <a:rPr lang="cs-CZ"/>
                      <a:t> (0,0)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Vybavení bytu, domu, údžba, opravy
5,</a:t>
                    </a:r>
                    <a:r>
                      <a:rPr lang="cs-CZ"/>
                      <a:t>7</a:t>
                    </a:r>
                    <a:r>
                      <a:rPr lang="en-US"/>
                      <a:t>%</a:t>
                    </a:r>
                    <a:r>
                      <a:rPr lang="cs-CZ"/>
                      <a:t> (+0,7)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5.1773073850632137E-2"/>
                  <c:y val="-3.24006109405815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Ostatní zboží a služby
1</a:t>
                    </a:r>
                    <a:r>
                      <a:rPr lang="cs-CZ"/>
                      <a:t>2</a:t>
                    </a:r>
                    <a:r>
                      <a:rPr lang="en-US"/>
                      <a:t>,</a:t>
                    </a:r>
                    <a:r>
                      <a:rPr lang="cs-CZ"/>
                      <a:t>1</a:t>
                    </a:r>
                    <a:r>
                      <a:rPr lang="en-US"/>
                      <a:t>%</a:t>
                    </a:r>
                    <a:r>
                      <a:rPr lang="cs-CZ"/>
                      <a:t> (0,0)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1.4841780819663253E-2"/>
                  <c:y val="-5.059537049394249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Doprava
1</a:t>
                    </a:r>
                    <a:r>
                      <a:rPr lang="cs-CZ"/>
                      <a:t>1</a:t>
                    </a:r>
                    <a:r>
                      <a:rPr lang="en-US"/>
                      <a:t>,</a:t>
                    </a:r>
                    <a:r>
                      <a:rPr lang="cs-CZ"/>
                      <a:t>0</a:t>
                    </a:r>
                    <a:r>
                      <a:rPr lang="en-US"/>
                      <a:t>%</a:t>
                    </a:r>
                    <a:r>
                      <a:rPr lang="cs-CZ"/>
                      <a:t> (+0,2)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1.5748994278525507E-2"/>
                  <c:y val="-6.12370118715223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Energie
1</a:t>
                    </a:r>
                    <a:r>
                      <a:rPr lang="cs-CZ"/>
                      <a:t>1</a:t>
                    </a:r>
                    <a:r>
                      <a:rPr lang="en-US"/>
                      <a:t>,</a:t>
                    </a:r>
                    <a:r>
                      <a:rPr lang="cs-CZ"/>
                      <a:t>2</a:t>
                    </a:r>
                    <a:r>
                      <a:rPr lang="en-US"/>
                      <a:t>%</a:t>
                    </a:r>
                    <a:r>
                      <a:rPr lang="cs-CZ"/>
                      <a:t> (-1,0)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1.5797352018420807E-2"/>
                  <c:y val="-3.81395695004601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Vodné a stočné
1,6%</a:t>
                    </a:r>
                    <a:r>
                      <a:rPr lang="cs-CZ"/>
                      <a:t> (0,0)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1.5528902207595181E-2"/>
                  <c:y val="6.54400609716168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Nájemné
</a:t>
                    </a:r>
                    <a:r>
                      <a:rPr lang="cs-CZ"/>
                      <a:t>6</a:t>
                    </a:r>
                    <a:r>
                      <a:rPr lang="en-US"/>
                      <a:t>,</a:t>
                    </a:r>
                    <a:r>
                      <a:rPr lang="cs-CZ"/>
                      <a:t>1</a:t>
                    </a:r>
                    <a:r>
                      <a:rPr lang="en-US"/>
                      <a:t>%</a:t>
                    </a:r>
                    <a:r>
                      <a:rPr lang="cs-CZ"/>
                      <a:t> (+0,1)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1.5748810408792065E-2"/>
                  <c:y val="9.19555846534423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Ostatní výdaje spojené s bydlením</a:t>
                    </a:r>
                    <a:r>
                      <a:rPr lang="cs-CZ" baseline="30000"/>
                      <a:t>2)</a:t>
                    </a:r>
                    <a:r>
                      <a:rPr lang="en-US" baseline="30000"/>
                      <a:t> </a:t>
                    </a:r>
                    <a:r>
                      <a:rPr lang="cs-CZ" baseline="30000"/>
                      <a:t/>
                    </a:r>
                    <a:br>
                      <a:rPr lang="cs-CZ" baseline="30000"/>
                    </a:br>
                    <a:r>
                      <a:rPr lang="cs-CZ"/>
                      <a:t>2,6</a:t>
                    </a:r>
                    <a:r>
                      <a:rPr lang="en-US"/>
                      <a:t>%</a:t>
                    </a:r>
                    <a:r>
                      <a:rPr lang="cs-CZ"/>
                      <a:t> (-0,1)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dLbl>
              <c:idx val="11"/>
              <c:tx>
                <c:rich>
                  <a:bodyPr/>
                  <a:lstStyle/>
                  <a:p>
                    <a:r>
                      <a:rPr lang="cs-CZ"/>
                      <a:t>Bydlení</a:t>
                    </a:r>
                    <a:r>
                      <a:rPr lang="en-US"/>
                      <a:t>
2</a:t>
                    </a:r>
                    <a:r>
                      <a:rPr lang="cs-CZ"/>
                      <a:t>1,5</a:t>
                    </a:r>
                    <a:r>
                      <a:rPr lang="en-US"/>
                      <a:t>%</a:t>
                    </a:r>
                    <a:r>
                      <a:rPr lang="cs-CZ"/>
                      <a:t> </a:t>
                    </a:r>
                    <a:br>
                      <a:rPr lang="cs-CZ"/>
                    </a:br>
                    <a:r>
                      <a:rPr lang="cs-CZ"/>
                      <a:t>(-1,0)</a:t>
                    </a:r>
                    <a:endParaRPr lang="en-US"/>
                  </a:p>
                </c:rich>
              </c:tx>
              <c:dLblPos val="bestFit"/>
              <c:showCatName val="1"/>
              <c:showPercent val="1"/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dLblPos val="bestFit"/>
            <c:showCatName val="1"/>
            <c:showPercent val="1"/>
            <c:showLeaderLines val="1"/>
          </c:dLbls>
          <c:cat>
            <c:strRef>
              <c:f>List1!$A$1:$A$11</c:f>
              <c:strCache>
                <c:ptCount val="11"/>
                <c:pt idx="0">
                  <c:v>Výživa</c:v>
                </c:pt>
                <c:pt idx="1">
                  <c:v>Ostatní výdaje 1)</c:v>
                </c:pt>
                <c:pt idx="2">
                  <c:v>Odívání a obuv</c:v>
                </c:pt>
                <c:pt idx="3">
                  <c:v>Rekreace a kultura</c:v>
                </c:pt>
                <c:pt idx="4">
                  <c:v>Vybavení bytu, domu, údžba, opravy</c:v>
                </c:pt>
                <c:pt idx="5">
                  <c:v>Ostatní zboží a služby</c:v>
                </c:pt>
                <c:pt idx="6">
                  <c:v>Doprava</c:v>
                </c:pt>
                <c:pt idx="7">
                  <c:v>Energie</c:v>
                </c:pt>
                <c:pt idx="8">
                  <c:v>Vodné a stočné</c:v>
                </c:pt>
                <c:pt idx="9">
                  <c:v>Nájemné</c:v>
                </c:pt>
                <c:pt idx="10">
                  <c:v>Ostatní výdaje spojené s bydlením (údržba, opravy, odvoz odpadu apod.)</c:v>
                </c:pt>
              </c:strCache>
            </c:strRef>
          </c:cat>
          <c:val>
            <c:numRef>
              <c:f>List1!$B$1:$B$11</c:f>
              <c:numCache>
                <c:formatCode>0.0%</c:formatCode>
                <c:ptCount val="11"/>
                <c:pt idx="0">
                  <c:v>0.20100000000000001</c:v>
                </c:pt>
                <c:pt idx="1">
                  <c:v>0.15900000000000006</c:v>
                </c:pt>
                <c:pt idx="2">
                  <c:v>4.7000000000000014E-2</c:v>
                </c:pt>
                <c:pt idx="3">
                  <c:v>9.0000000000000024E-2</c:v>
                </c:pt>
                <c:pt idx="4">
                  <c:v>5.7000000000000023E-2</c:v>
                </c:pt>
                <c:pt idx="5">
                  <c:v>0.12100000000000002</c:v>
                </c:pt>
                <c:pt idx="6">
                  <c:v>0.11000000000000001</c:v>
                </c:pt>
                <c:pt idx="7">
                  <c:v>0.128</c:v>
                </c:pt>
                <c:pt idx="8">
                  <c:v>1.6000000000000007E-2</c:v>
                </c:pt>
                <c:pt idx="9">
                  <c:v>5.9000000000000011E-2</c:v>
                </c:pt>
                <c:pt idx="10">
                  <c:v>2.5000000000000008E-2</c:v>
                </c:pt>
              </c:numCache>
            </c:numRef>
          </c:val>
        </c:ser>
        <c:dLbls>
          <c:showCatName val="1"/>
          <c:showPercent val="1"/>
        </c:dLbls>
        <c:gapWidth val="39"/>
        <c:secondPieSize val="70"/>
        <c:serLines/>
      </c:ofPie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AF7F-E61B-4C00-8673-88F9B34B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8909</Words>
  <Characters>52567</Characters>
  <Application>Microsoft Office Word</Application>
  <DocSecurity>0</DocSecurity>
  <Lines>438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61354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OSPZV3 ospzv3</cp:lastModifiedBy>
  <cp:revision>2</cp:revision>
  <cp:lastPrinted>2015-10-21T12:26:00Z</cp:lastPrinted>
  <dcterms:created xsi:type="dcterms:W3CDTF">2015-11-25T12:13:00Z</dcterms:created>
  <dcterms:modified xsi:type="dcterms:W3CDTF">2015-11-25T12:13:00Z</dcterms:modified>
</cp:coreProperties>
</file>